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00" w:lineRule="exact"/>
        <w:jc w:val="center"/>
        <w:rPr>
          <w:rFonts w:eastAsia="方正小标宋简体"/>
          <w:color w:val="FF0000"/>
          <w:spacing w:val="40"/>
          <w:sz w:val="96"/>
          <w:szCs w:val="92"/>
        </w:rPr>
      </w:pPr>
    </w:p>
    <w:p>
      <w:pPr>
        <w:autoSpaceDE w:val="0"/>
        <w:autoSpaceDN w:val="0"/>
        <w:spacing w:line="600" w:lineRule="exact"/>
        <w:jc w:val="center"/>
        <w:rPr>
          <w:rFonts w:eastAsia="方正小标宋简体"/>
          <w:color w:val="FF0000"/>
          <w:spacing w:val="40"/>
          <w:sz w:val="96"/>
          <w:szCs w:val="92"/>
        </w:rPr>
      </w:pPr>
    </w:p>
    <w:p>
      <w:pPr>
        <w:rPr>
          <w:rFonts w:ascii="Times New Roman" w:hAnsi="Times New Roman" w:eastAsia="方正小标宋简体"/>
          <w:color w:val="FF0000"/>
          <w:spacing w:val="40"/>
          <w:w w:val="80"/>
          <w:sz w:val="92"/>
          <w:szCs w:val="92"/>
        </w:rPr>
      </w:pPr>
      <w:r>
        <w:rPr>
          <w:rFonts w:ascii="Times New Roman" w:hAnsi="Times New Roman" w:eastAsia="方正小标宋简体"/>
          <w:color w:val="FF0000"/>
          <w:spacing w:val="40"/>
          <w:w w:val="80"/>
          <w:sz w:val="100"/>
          <w:szCs w:val="92"/>
        </w:rPr>
        <w:t>嘉兴市医疗保障局文件</w:t>
      </w:r>
    </w:p>
    <w:p>
      <w:pPr>
        <w:spacing w:line="200" w:lineRule="exact"/>
        <w:jc w:val="center"/>
        <w:rPr>
          <w:rFonts w:ascii="Times New Roman" w:hAnsi="Times New Roman"/>
          <w:sz w:val="10"/>
          <w:szCs w:val="10"/>
        </w:rPr>
      </w:pPr>
    </w:p>
    <w:p>
      <w:pPr>
        <w:spacing w:line="200" w:lineRule="exact"/>
        <w:jc w:val="center"/>
        <w:rPr>
          <w:rFonts w:ascii="Times New Roman" w:hAnsi="Times New Roman"/>
          <w:sz w:val="10"/>
          <w:szCs w:val="10"/>
        </w:rPr>
      </w:pPr>
    </w:p>
    <w:p>
      <w:pPr>
        <w:spacing w:line="200" w:lineRule="exact"/>
        <w:jc w:val="center"/>
        <w:rPr>
          <w:rFonts w:ascii="Times New Roman" w:hAnsi="Times New Roman"/>
          <w:sz w:val="10"/>
          <w:szCs w:val="10"/>
        </w:rPr>
      </w:pPr>
    </w:p>
    <w:p>
      <w:pPr>
        <w:spacing w:line="380" w:lineRule="atLeast"/>
        <w:ind w:firstLine="198" w:firstLineChars="62"/>
        <w:jc w:val="center"/>
        <w:rPr>
          <w:rFonts w:ascii="仿宋_GB2312" w:hAnsi="Times New Roman" w:eastAsia="仿宋_GB2312"/>
          <w:sz w:val="32"/>
          <w:szCs w:val="32"/>
        </w:rPr>
      </w:pPr>
      <w:r>
        <w:rPr>
          <w:rFonts w:hint="eastAsia" w:ascii="仿宋_GB2312" w:hAnsi="Times New Roman" w:eastAsia="仿宋_GB2312"/>
          <w:sz w:val="32"/>
          <w:szCs w:val="32"/>
        </w:rPr>
        <w:t>嘉医保〔202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10</w:t>
      </w:r>
      <w:r>
        <w:rPr>
          <w:rFonts w:hint="eastAsia" w:ascii="仿宋_GB2312" w:hAnsi="Times New Roman" w:eastAsia="仿宋_GB2312"/>
          <w:sz w:val="32"/>
          <w:szCs w:val="32"/>
        </w:rPr>
        <w:t>号</w:t>
      </w:r>
    </w:p>
    <w:p>
      <w:pPr>
        <w:spacing w:line="200" w:lineRule="exact"/>
        <w:jc w:val="center"/>
        <w:rPr>
          <w:rFonts w:ascii="Times New Roman" w:hAnsi="Times New Roman" w:eastAsia="方正小标宋简体"/>
          <w:sz w:val="42"/>
          <w:szCs w:val="42"/>
        </w:rPr>
      </w:pPr>
      <w:r>
        <w:rPr>
          <w:rFonts w:ascii="Times New Roman" w:hAnsi="Times New Roman" w:eastAsia="仿宋_GB2312"/>
          <w:sz w:val="10"/>
          <w:szCs w:val="10"/>
        </w:rPr>
        <w:pict>
          <v:shape id="1027" o:spid="_x0000_s2050" o:spt="32" type="#_x0000_t32" style="position:absolute;left:0pt;flip:y;margin-left:4.6pt;margin-top:1.3pt;height:0.75pt;width:432.75pt;z-index:251659264;mso-width-relative:page;mso-height-relative:page;" filled="f" stroked="t" coordsize="21600,21600">
            <v:path arrowok="t"/>
            <v:fill on="f" focussize="0,0"/>
            <v:stroke weight="2.5pt" color="#FF0000"/>
            <v:imagedata o:title=""/>
            <o:lock v:ext="edit"/>
          </v:shape>
        </w:pict>
      </w:r>
    </w:p>
    <w:p>
      <w:pPr>
        <w:autoSpaceDE w:val="0"/>
        <w:autoSpaceDN w:val="0"/>
        <w:spacing w:line="600" w:lineRule="exact"/>
        <w:rPr>
          <w:rFonts w:eastAsia="方正小标宋简体"/>
          <w:color w:val="FF0000"/>
          <w:spacing w:val="40"/>
          <w:sz w:val="96"/>
          <w:szCs w:val="9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嘉兴市医疗保障局关于规范口腔种植等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医疗服务价格项目的通知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bookmarkStart w:id="0" w:name="Content"/>
      <w:r>
        <w:rPr>
          <w:rFonts w:hint="eastAsia" w:ascii="仿宋_GB2312" w:hAnsi="仿宋_GB2312" w:eastAsia="仿宋_GB2312" w:cs="仿宋_GB2312"/>
          <w:color w:val="auto"/>
          <w:sz w:val="32"/>
          <w:szCs w:val="32"/>
        </w:rPr>
        <w:t>各县（市、区）医疗保障局（分局），</w:t>
      </w:r>
      <w:r>
        <w:rPr>
          <w:rFonts w:hint="eastAsia" w:ascii="仿宋_GB2312" w:hAnsi="仿宋_GB2312" w:eastAsia="仿宋_GB2312" w:cs="仿宋_GB2312"/>
          <w:color w:val="auto"/>
          <w:sz w:val="32"/>
          <w:szCs w:val="32"/>
          <w:lang w:val="en-US" w:eastAsia="zh-CN"/>
        </w:rPr>
        <w:t>嘉兴经济技术开发区民生事业部，浙江乍浦经济开发区（嘉兴港区）经济发展部，</w:t>
      </w:r>
      <w:r>
        <w:rPr>
          <w:rFonts w:hint="eastAsia" w:ascii="仿宋_GB2312" w:hAnsi="仿宋_GB2312" w:eastAsia="仿宋_GB2312" w:cs="仿宋_GB2312"/>
          <w:color w:val="auto"/>
          <w:sz w:val="32"/>
          <w:szCs w:val="32"/>
        </w:rPr>
        <w:t>市级公立医院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市医保中心：</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为保障人民群众获得高质量、有效率、能负担的缺牙修复服务，促进口腔种植行业健康有序发展，根据《浙江省医疗保障局关于规范口腔种植等医疗服务价格项目的通知》（浙医保发〔2023〕10号）精神，现就我市口腔种植等医疗服务价格项目规范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一、规范口腔种植医疗服务价格项目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按照新设立的种植体植入费（单颗）等15项口腔种植医疗服务价格项目，制定我市公立医疗机构试行价格（附件1），删除33H0008口腔种植自主定价的医疗服务项目。公立医疗机构提供口腔种植医疗服务，主要采取“服务项目+专用耗材”分开计价的收费方式，即种植体植入费与种植体耗材系统价格分开计价；牙冠置入费与牙冠产品价格分开计价；植骨手术费与骨粉、骨膜价格分开计价。3D模型打印（口腔）、医学3D导板打印（口腔）通常只用于全牙弓等复杂种植，暂不实行“技耗分离”，无除外内容。专用耗材按实际采购价零差率销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二、实施口腔种植医疗服务价格全流程调控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根据国家医疗保障局《关于印发口腔种植医疗服务价格调控操作要点（试行）的通知》相关要求，按照“诊查检查+种植体植入+牙冠置入”的医疗服务价格实施整体调控，</w:t>
      </w:r>
      <w:r>
        <w:rPr>
          <w:rFonts w:hint="eastAsia" w:ascii="仿宋_GB2312" w:hAnsi="仿宋" w:eastAsia="仿宋_GB2312"/>
          <w:color w:val="auto"/>
          <w:sz w:val="32"/>
          <w:szCs w:val="32"/>
          <w:lang w:val="en" w:eastAsia="zh-CN"/>
        </w:rPr>
        <w:t>我市</w:t>
      </w:r>
      <w:r>
        <w:rPr>
          <w:rFonts w:hint="eastAsia" w:ascii="仿宋_GB2312" w:hAnsi="仿宋" w:eastAsia="仿宋_GB2312"/>
          <w:color w:val="auto"/>
          <w:sz w:val="32"/>
          <w:szCs w:val="32"/>
          <w:lang w:val="en-US" w:eastAsia="zh-CN"/>
        </w:rPr>
        <w:t>三甲</w:t>
      </w:r>
      <w:r>
        <w:rPr>
          <w:rFonts w:hint="eastAsia" w:ascii="仿宋_GB2312" w:hAnsi="仿宋" w:eastAsia="仿宋_GB2312"/>
          <w:color w:val="auto"/>
          <w:sz w:val="32"/>
          <w:szCs w:val="32"/>
          <w:lang w:val="en" w:eastAsia="zh-CN"/>
        </w:rPr>
        <w:t>公立医疗机构</w:t>
      </w:r>
      <w:r>
        <w:rPr>
          <w:rFonts w:hint="eastAsia" w:ascii="仿宋_GB2312" w:hAnsi="仿宋" w:eastAsia="仿宋_GB2312"/>
          <w:color w:val="auto"/>
          <w:sz w:val="32"/>
          <w:szCs w:val="32"/>
          <w:lang w:val="en-US" w:eastAsia="zh-CN"/>
        </w:rPr>
        <w:t>单颗常规种植调控目标不超过4500元，三乙单颗常规种植调控目标不超过4323元，</w:t>
      </w:r>
      <w:r>
        <w:rPr>
          <w:rFonts w:hint="eastAsia" w:ascii="仿宋_GB2312" w:hAnsi="仿宋" w:eastAsia="仿宋_GB2312"/>
          <w:color w:val="auto"/>
          <w:sz w:val="32"/>
          <w:szCs w:val="32"/>
        </w:rPr>
        <w:t>二级及以下公立医疗机构单颗常规种植调控目标</w:t>
      </w:r>
      <w:r>
        <w:rPr>
          <w:rFonts w:hint="eastAsia" w:ascii="仿宋_GB2312" w:hAnsi="仿宋" w:eastAsia="仿宋_GB2312"/>
          <w:color w:val="auto"/>
          <w:sz w:val="32"/>
          <w:szCs w:val="32"/>
          <w:lang w:val="en-US" w:eastAsia="zh-CN"/>
        </w:rPr>
        <w:t>均不超过4164元，</w:t>
      </w:r>
      <w:r>
        <w:rPr>
          <w:rFonts w:hint="eastAsia" w:ascii="仿宋_GB2312" w:hAnsi="仿宋" w:eastAsia="仿宋_GB2312"/>
          <w:color w:val="auto"/>
          <w:sz w:val="32"/>
          <w:szCs w:val="32"/>
        </w:rPr>
        <w:t>基层医疗卫生机构单颗常规种植调控目标</w:t>
      </w:r>
      <w:r>
        <w:rPr>
          <w:rFonts w:hint="eastAsia" w:ascii="仿宋_GB2312" w:hAnsi="仿宋" w:eastAsia="仿宋_GB2312"/>
          <w:color w:val="auto"/>
          <w:sz w:val="32"/>
          <w:szCs w:val="32"/>
          <w:lang w:val="en-US" w:eastAsia="zh-CN"/>
        </w:rPr>
        <w:t>不超过3976元。为避免实际收费超过调控目标，留出4%的余量，即</w:t>
      </w:r>
      <w:r>
        <w:rPr>
          <w:rFonts w:hint="eastAsia" w:ascii="仿宋_GB2312" w:hAnsi="仿宋" w:eastAsia="仿宋_GB2312"/>
          <w:color w:val="auto"/>
          <w:sz w:val="32"/>
          <w:szCs w:val="32"/>
        </w:rPr>
        <w:t>三甲、三乙、二级及以下公立医疗机构和基层医疗卫生机构</w:t>
      </w:r>
      <w:r>
        <w:rPr>
          <w:rFonts w:hint="eastAsia" w:ascii="仿宋_GB2312" w:hAnsi="仿宋" w:eastAsia="仿宋_GB2312"/>
          <w:color w:val="auto"/>
          <w:sz w:val="32"/>
          <w:szCs w:val="32"/>
          <w:lang w:val="en-US" w:eastAsia="zh-CN"/>
        </w:rPr>
        <w:t>全流程总价</w:t>
      </w:r>
      <w:r>
        <w:rPr>
          <w:rFonts w:hint="eastAsia" w:ascii="仿宋_GB2312" w:hAnsi="仿宋" w:eastAsia="仿宋_GB2312"/>
          <w:color w:val="auto"/>
          <w:sz w:val="32"/>
          <w:szCs w:val="32"/>
        </w:rPr>
        <w:t>分别不超过4320元、</w:t>
      </w:r>
      <w:r>
        <w:rPr>
          <w:rFonts w:hint="eastAsia" w:ascii="仿宋_GB2312" w:hAnsi="仿宋" w:eastAsia="仿宋_GB2312"/>
          <w:color w:val="auto"/>
          <w:sz w:val="32"/>
          <w:szCs w:val="32"/>
          <w:lang w:val="en-US" w:eastAsia="zh-CN"/>
        </w:rPr>
        <w:t>4150</w:t>
      </w:r>
      <w:r>
        <w:rPr>
          <w:rFonts w:hint="eastAsia" w:ascii="仿宋_GB2312" w:hAnsi="仿宋" w:eastAsia="仿宋_GB2312"/>
          <w:color w:val="auto"/>
          <w:sz w:val="32"/>
          <w:szCs w:val="32"/>
        </w:rPr>
        <w:t>元、</w:t>
      </w:r>
      <w:r>
        <w:rPr>
          <w:rFonts w:hint="eastAsia" w:ascii="仿宋_GB2312" w:hAnsi="仿宋" w:eastAsia="仿宋_GB2312"/>
          <w:color w:val="auto"/>
          <w:sz w:val="32"/>
          <w:szCs w:val="32"/>
          <w:lang w:val="en-US" w:eastAsia="zh-CN"/>
        </w:rPr>
        <w:t>3997</w:t>
      </w:r>
      <w:r>
        <w:rPr>
          <w:rFonts w:hint="eastAsia" w:ascii="仿宋_GB2312" w:hAnsi="仿宋" w:eastAsia="仿宋_GB2312"/>
          <w:color w:val="auto"/>
          <w:sz w:val="32"/>
          <w:szCs w:val="32"/>
        </w:rPr>
        <w:t>元、</w:t>
      </w:r>
      <w:r>
        <w:rPr>
          <w:rFonts w:hint="eastAsia" w:ascii="仿宋_GB2312" w:hAnsi="仿宋" w:eastAsia="仿宋_GB2312"/>
          <w:color w:val="auto"/>
          <w:sz w:val="32"/>
          <w:szCs w:val="32"/>
          <w:lang w:val="en-US" w:eastAsia="zh-CN"/>
        </w:rPr>
        <w:t>3817</w:t>
      </w:r>
      <w:r>
        <w:rPr>
          <w:rFonts w:hint="eastAsia" w:ascii="仿宋_GB2312" w:hAnsi="仿宋" w:eastAsia="仿宋_GB2312"/>
          <w:color w:val="auto"/>
          <w:sz w:val="32"/>
          <w:szCs w:val="32"/>
        </w:rPr>
        <w:t>元</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包含种植全过程的诊查费、生化检验、影像检查费、种植体植入费、牙冠置入费、扫描设计建模费、麻醉费、药品费用的总和。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三、调整完善龈下洁治项目价格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调整完善龈下洁治项目名称和项目内涵，确定我市公立医疗机构项目价格（附件2）。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楷体_GB2312" w:hAnsi="楷体_GB2312" w:eastAsia="楷体_GB2312" w:cs="楷体_GB2312"/>
          <w:color w:val="auto"/>
          <w:sz w:val="32"/>
          <w:szCs w:val="32"/>
        </w:rPr>
        <w:t>（一）加强对公立医疗机构的政策指导。</w:t>
      </w:r>
      <w:r>
        <w:rPr>
          <w:rFonts w:hint="eastAsia" w:ascii="仿宋_GB2312" w:hAnsi="仿宋" w:eastAsia="仿宋_GB2312"/>
          <w:color w:val="auto"/>
          <w:sz w:val="32"/>
          <w:szCs w:val="32"/>
        </w:rPr>
        <w:t>公立医疗机构口腔种植医疗服务价格由医疗机构自主定价调整为政府指导价管理，各县（市、区）医疗保障局（分局）要切实履行价格管理职责，坚持公益性原则，有效降低公立医疗机构口腔种植医疗服务和耗材虚高价格，发挥公立医疗机构公益性价格对市场的参照和锚定作用，督促公立医疗机构严格执行口腔种植医疗服务政府指导价和单颗常规种植全流程总价，按规定进行价格公示，及时清理自主定价的口腔种植医疗服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楷体_GB2312" w:hAnsi="楷体_GB2312" w:eastAsia="楷体_GB2312" w:cs="楷体_GB2312"/>
          <w:color w:val="auto"/>
          <w:sz w:val="32"/>
          <w:szCs w:val="32"/>
        </w:rPr>
        <w:t>（二）强化对民营医疗机构的监管引导。</w:t>
      </w:r>
      <w:r>
        <w:rPr>
          <w:rFonts w:hint="eastAsia" w:ascii="仿宋_GB2312" w:hAnsi="仿宋" w:eastAsia="仿宋_GB2312"/>
          <w:color w:val="auto"/>
          <w:sz w:val="32"/>
          <w:szCs w:val="32"/>
        </w:rPr>
        <w:t>民营医疗机构口腔种植医疗服务价格实行市场调节，各县（市、区）医疗保障局（分局）要严格按照定点协议管理相关要求，指导民营医疗机构主动参加口腔种植体集采、响应全流程医疗服务价格调控，按照公平合法、诚实信用和质价相符的原则，对比本地区公立医疗机构，制定符合市场竞争规律和群众预期的合理价格，主动在明显区域按规定进行价格公示，并保障公示信息的真实性、及时性和完整性。各县（市、区）医疗保障局（分局）在官方平台上展示辖区内民营医疗机构口腔种植价格和费用、是否参加口腔种植体集采和响应全流程医疗服务价格调控等情况，为患者就医提供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楷体_GB2312" w:hAnsi="楷体_GB2312" w:eastAsia="楷体_GB2312" w:cs="楷体_GB2312"/>
          <w:color w:val="auto"/>
          <w:sz w:val="32"/>
          <w:szCs w:val="32"/>
        </w:rPr>
        <w:t>（三）加大口腔种植医疗服务价格治理力度。</w:t>
      </w:r>
      <w:r>
        <w:rPr>
          <w:rFonts w:hint="eastAsia" w:ascii="仿宋_GB2312" w:hAnsi="仿宋" w:eastAsia="仿宋_GB2312"/>
          <w:color w:val="auto"/>
          <w:sz w:val="32"/>
          <w:szCs w:val="32"/>
        </w:rPr>
        <w:t>各县（市、区）医疗保障局（分局）要密切关注各级各类医疗机构口腔种植医疗服务价格执行情况和种植体等耗材实际采购情况，将价格调控监测与经办日常稽核相结合，将口腔种植专项治理“回头看”与医保基金飞行检查相结合，及时将检查过程中发现医疗机构重复收费、价格欺诈、虚假宣传等违法违规线索，以及提供口腔种植医疗服务过程中不合理不规范的检查诊疗行为，向行业主管部门、行政执法部门通报，确保治理措施落实落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本通知自2023年</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日起执行，试行期限自本通知执行之日起2年。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附件：1.口腔种植医疗服务价格项目及试行价格表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2.龈下刮治医疗服务价格项目表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嘉兴市医疗保障局</w:t>
      </w: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202</w:t>
      </w:r>
      <w:r>
        <w:rPr>
          <w:rFonts w:hint="eastAsia" w:ascii="仿宋_GB2312" w:hAnsi="仿宋" w:eastAsia="仿宋_GB2312"/>
          <w:color w:val="000000" w:themeColor="text1"/>
          <w:sz w:val="32"/>
          <w:szCs w:val="32"/>
          <w:lang w:val="en-US" w:eastAsia="zh-CN"/>
        </w:rPr>
        <w:t>3</w:t>
      </w:r>
      <w:r>
        <w:rPr>
          <w:rFonts w:hint="eastAsia" w:ascii="仿宋_GB2312" w:hAnsi="仿宋" w:eastAsia="仿宋_GB2312"/>
          <w:color w:val="000000" w:themeColor="text1"/>
          <w:sz w:val="32"/>
          <w:szCs w:val="32"/>
        </w:rPr>
        <w:t>年</w:t>
      </w:r>
      <w:r>
        <w:rPr>
          <w:rFonts w:hint="eastAsia" w:ascii="仿宋_GB2312" w:hAnsi="仿宋" w:eastAsia="仿宋_GB2312"/>
          <w:color w:val="000000" w:themeColor="text1"/>
          <w:sz w:val="32"/>
          <w:szCs w:val="32"/>
          <w:lang w:val="en-US" w:eastAsia="zh-CN"/>
        </w:rPr>
        <w:t>3</w:t>
      </w:r>
      <w:r>
        <w:rPr>
          <w:rFonts w:hint="eastAsia"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val="en-US" w:eastAsia="zh-CN"/>
        </w:rPr>
        <w:t>23</w:t>
      </w:r>
      <w:r>
        <w:rPr>
          <w:rFonts w:hint="eastAsia" w:ascii="仿宋_GB2312" w:hAnsi="仿宋" w:eastAsia="仿宋_GB2312"/>
          <w:color w:val="000000" w:themeColor="text1"/>
          <w:sz w:val="32"/>
          <w:szCs w:val="32"/>
        </w:rPr>
        <w:t>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 w:eastAsia="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olor w:val="000000" w:themeColor="text1"/>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 w:eastAsia="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olor w:val="000000" w:themeColor="text1"/>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 w:eastAsia="仿宋_GB2312"/>
          <w:color w:val="000000" w:themeColor="text1"/>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pPr>
      <w:bookmarkStart w:id="1" w:name="_GoBack"/>
      <w:bookmarkEnd w:id="1"/>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ascii="仿宋_GB2312" w:eastAsia="仿宋_GB2312" w:hAnsiTheme="minorEastAsia"/>
          <w:color w:val="000000" w:themeColor="text1"/>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ascii="仿宋_GB2312" w:eastAsia="仿宋_GB2312" w:hAnsiTheme="minorEastAsia"/>
          <w:color w:val="000000" w:themeColor="text1"/>
          <w:sz w:val="32"/>
          <w:szCs w:val="32"/>
        </w:rPr>
        <w:sectPr>
          <w:footerReference r:id="rId4" w:type="default"/>
          <w:headerReference r:id="rId3" w:type="even"/>
          <w:footerReference r:id="rId5" w:type="even"/>
          <w:pgSz w:w="11906" w:h="16838"/>
          <w:pgMar w:top="1984" w:right="1531" w:bottom="1984" w:left="1531" w:header="851" w:footer="992" w:gutter="0"/>
          <w:cols w:space="0" w:num="1"/>
          <w:rtlGutter w:val="0"/>
          <w:docGrid w:type="linesAndChars" w:linePitch="312" w:charSpace="0"/>
        </w:sect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方正小标宋简体" w:hAnsi="方正小标宋简体" w:eastAsia="方正小标宋简体" w:cs="方正小标宋简体"/>
          <w:b w:val="0"/>
          <w:bCs/>
          <w:sz w:val="44"/>
          <w:szCs w:val="44"/>
        </w:rPr>
      </w:pPr>
      <w:r>
        <w:rPr>
          <w:rStyle w:val="12"/>
          <w:rFonts w:hint="eastAsia" w:ascii="方正小标宋简体" w:hAnsi="方正小标宋简体" w:eastAsia="方正小标宋简体" w:cs="方正小标宋简体"/>
          <w:b w:val="0"/>
          <w:bCs/>
          <w:sz w:val="44"/>
          <w:szCs w:val="44"/>
        </w:rPr>
        <w:t>口腔种植医疗服务价格项目及试行价格表</w:t>
      </w:r>
    </w:p>
    <w:tbl>
      <w:tblPr>
        <w:tblStyle w:val="10"/>
        <w:tblW w:w="1383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2"/>
        <w:gridCol w:w="2073"/>
        <w:gridCol w:w="945"/>
        <w:gridCol w:w="3495"/>
        <w:gridCol w:w="720"/>
        <w:gridCol w:w="677"/>
        <w:gridCol w:w="763"/>
        <w:gridCol w:w="765"/>
        <w:gridCol w:w="915"/>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830" w:type="dxa"/>
            <w:gridSpan w:val="10"/>
            <w:tcBorders>
              <w:top w:val="single" w:color="000000" w:sz="4" w:space="0"/>
              <w:left w:val="single" w:color="000000" w:sz="4" w:space="0"/>
              <w:bottom w:val="nil"/>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30" w:type="dxa"/>
            <w:gridSpan w:val="10"/>
            <w:tcBorders>
              <w:top w:val="nil"/>
              <w:left w:val="single" w:color="000000" w:sz="4" w:space="0"/>
              <w:bottom w:val="nil"/>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1.植入体为种植体、基台等植入牙床、包裹在牙龈内的医用耗材，置入体是指种植牙冠、义齿等安置在口腔内、暴露在牙龈之外，不与人体组织直接结合的医用耗材。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830" w:type="dxa"/>
            <w:gridSpan w:val="10"/>
            <w:tcBorders>
              <w:top w:val="nil"/>
              <w:left w:val="single" w:color="000000" w:sz="4" w:space="0"/>
              <w:bottom w:val="nil"/>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项目内涵中“价格构成”指制定项目价格应涵盖的各类资源消耗,医疗机构实际提供服务时,“价格构成”的个别要素因患者个体差异可以不发生的,除另有政策规定外,允许医疗机构收费适用相应的项目和价格政策。此外，“价格构成”用于确定计价单元的边界，不应作为临床技术标准理解，不是医疗服务实际操作方式、路径、步骤、程序的强制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3830" w:type="dxa"/>
            <w:gridSpan w:val="10"/>
            <w:tcBorders>
              <w:top w:val="nil"/>
              <w:left w:val="single" w:color="000000" w:sz="4" w:space="0"/>
              <w:bottom w:val="nil"/>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项目内涵中“基本物资消耗”指原则上限于不应或不必要与医疗服务项目分割的易耗品，包括但不限于各类消杀用品、储存用品、清洁用品、个人防护用品、垃圾处理用品、试戴材料、铸造包埋材、义齿清洁材料、牙科分离剂、模型材料、蜡型材料、车针、排龈材料、菌斑指示剂、义齿稳固剂、印模材料、咬合记录材料、咬合检查材料、研磨抛光材料、冲洗液、润滑剂、灌洗液、棉球、棉签、纱布（垫）、护垫、衬垫、手术巾（单）、治疗巾（单）、治疗护理盘(包）、注射器、压舌板、滑石粉、防渗漏垫、标签、操作器具、冲洗工具。基本物资消耗成本计入项目价格，不另行收费。除基本物资消耗以外的其他耗材，按照实际采购价格零差率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3830" w:type="dxa"/>
            <w:gridSpan w:val="10"/>
            <w:tcBorders>
              <w:top w:val="nil"/>
              <w:left w:val="single" w:color="000000" w:sz="4" w:space="0"/>
              <w:bottom w:val="nil"/>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4.备注中即刻种植指拔牙或牙体缺失当日完成种植体植入的情况；即刻修复指种植体植入后1周以内完成牙冠置入的情形。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3830" w:type="dxa"/>
            <w:gridSpan w:val="10"/>
            <w:tcBorders>
              <w:top w:val="nil"/>
              <w:left w:val="single" w:color="000000" w:sz="4" w:space="0"/>
              <w:bottom w:val="nil"/>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5.口腔内简单植骨指通过骨替代材料引导骨再生或填充牙槽嵴骨量；口腔内复杂植骨包括上颌窦外提升植骨、牙槽嵴块状自体骨移植；口腔内一般植骨指简单植骨与复杂植骨以外各类形式的植骨技术。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830" w:type="dxa"/>
            <w:gridSpan w:val="10"/>
            <w:tcBorders>
              <w:top w:val="nil"/>
              <w:left w:val="single" w:color="000000" w:sz="4" w:space="0"/>
              <w:bottom w:val="nil"/>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6.医疗机构应对本院施治的口腔内牙齿缺失植入体、置入体进行保质保修，保修范围内出现损坏，医疗机构应免费进行修理、再制作，不得向患者收取费用。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830" w:type="dxa"/>
            <w:gridSpan w:val="10"/>
            <w:tcBorders>
              <w:top w:val="nil"/>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口腔医学3D项目，是指为口腔种植手术方案设计、导航定位等提供辅助的服务。医疗机构自行制作牙冠所进行的3D扫描设计、打印切削，以及翻模精修、烧结上釉、上色调改等具体操作、作为成本要素计入种植牙牙冠价格，不再将上述牙冠加工制作的具体操作步骤作为医疗服务价格项目向患者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序号</w:t>
            </w:r>
          </w:p>
        </w:tc>
        <w:tc>
          <w:tcPr>
            <w:tcW w:w="20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项目编码</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项目名称</w:t>
            </w:r>
          </w:p>
        </w:tc>
        <w:tc>
          <w:tcPr>
            <w:tcW w:w="3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项目内涵</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除外</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计价</w:t>
            </w:r>
          </w:p>
        </w:tc>
        <w:tc>
          <w:tcPr>
            <w:tcW w:w="24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价格（元）</w:t>
            </w:r>
          </w:p>
        </w:tc>
        <w:tc>
          <w:tcPr>
            <w:tcW w:w="28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0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34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内容</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单位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三甲</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三乙</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二级及以下</w:t>
            </w:r>
          </w:p>
        </w:tc>
        <w:tc>
          <w:tcPr>
            <w:tcW w:w="2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013306090010000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种植体植入费（单颗）</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实现口腔单颗种植体植入。价格构成涵盖方案设计、术前准备，备洞，种植体植入，二期手术，术后处理，手术复查等步骤人力资源和基本物资消耗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牙位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1530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1377</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1．种植体即刻种植加收30%，编码013306090010001；</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2．颅颌面种植体植入加收60%，编码013306090010002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01330609020000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种植体植入费（全牙弓）</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对范围超过一个象限以上的连续牙齿缺失进行种植体的植入以实现桥式修复。价格构成涵盖方案设计、术前准备，备洞，种植体植入，二期手术，术后处理，手术复查等步骤人力资源和基本物资消耗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例</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8790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7911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7120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上下颌分别进行桥式修复的，分别计价收费。</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1.种植体即刻种植加收30%，编码013306090020001；2.颅颌面种植体植入加收60%，编码013306090020002；3.种植体倾斜植入加收40%，编码</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013306090020003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013105170010000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种植牙冠修复置入费（单颗</w:t>
            </w:r>
            <w:r>
              <w:rPr>
                <w:rStyle w:val="21"/>
                <w:rFonts w:hint="eastAsia" w:ascii="仿宋_GB2312" w:hAnsi="仿宋_GB2312" w:eastAsia="仿宋_GB2312" w:cs="仿宋_GB2312"/>
                <w:color w:val="000000" w:themeColor="text1"/>
                <w:sz w:val="21"/>
                <w:szCs w:val="21"/>
                <w:lang w:val="en-US" w:eastAsia="zh-CN" w:bidi="ar"/>
              </w:rPr>
              <w:t>）</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实现种植体上部固定义齿的修复置入。价格构成涵盖方案设计、印模制取、颌位确定、位置转移、模型制作、试排牙、戴入、调改、宣教等人力资源和基本物资消耗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牙位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1350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1350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1．即刻修复置入加收30%，编码013105170010001；2．临时冠修复置入减收30%，编码013105170010002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013105170020000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种植牙冠修复置入费（连续冠桥修复）</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实现种植体上部不超过一个象限的连续固定义齿的修复置入。价格构成涵盖方案设计、印模制取、颌位确定、位置转移、模型制作、试排牙、戴入、调改、宣教等人力资源和基本物资消耗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牙位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1400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1．即刻修复置入加收30%，编码013105170020001；2．临时冠修复置入减收30%，编码013105170020002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2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013105170030000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种植牙冠修复置入费（固定咬合重建）</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实现对咬合支持丧失、半口牙齿缺失或全口牙齿缺失的种植体上部固定义齿的修复置入。价格构成涵盖方案设计、印模制取、颌位确定、位置转移、模型制作、试排牙、戴入、调改、宣教等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件</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9775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9775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9775</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即刻修复置入加收30%，编码013105170030001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013105230010000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种植可摘修复置入费</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实现种植体上部可摘修复体的置入。价格构成涵盖方案设计、印模制取、颌位确定、位置转移、试排牙、模型制作、戴入、调改、宣教等人力资源和基本物资消耗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件</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即刻修复置入加收30%，编码013105230010001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013306090030000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口腔内植骨费（简单）</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通过手术方式，对轻度牙槽嵴萎缩骨量增加，达到可种植条件。价格构成涵盖方案设计、术前准备、手术入路，组织切开，植骨，关闭缝合受植区等手术步骤及术后复查处置等人力资源和基本物资消耗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牙位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486</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013306090040000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口腔内植骨费（一般）</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通过手术方式，对中度牙槽嵴萎缩骨量增加，达到可种植条件。价格构成涵盖方案设计、术前准备、手术入路，组织切开，骨劈开/骨挤压，植骨，关闭缝合受植区等手术步骤及术后复查处置等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FF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牙位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1440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1296</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013306090050000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口腔内植骨费（复杂）</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通过手术方式，对重度牙槽嵴萎缩或上颌窦底骨量增加，达到可种植条件。价格构成涵盖方案设计、术前准备、手术入路，组织切开，自体骨移植、植骨，关闭缝合受植区等手术步骤及术后复查处置等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牙位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2500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2250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2025</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1．上颌窦囊肿摘除加收20%，编码013306090050001；2．口腔以外其他部位取骨按具体部位取骨术计价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013306090060000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种植体周软组织移植费</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通过局部软组织移植，改善治疗部位及周围软组织状况，达到治疗所需软组织条件。价格构成涵盖方案设计、术前准备、切开、翻瓣、供软组织制备、组织固定、缝合及处置等手术步骤人力资源和基本物资消耗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生物膜</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牙位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810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013306090070000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种植体取出费</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拆除患者口腔内已植入且无法继续使用的种植体。价格构成涵盖种植体拆除操作步骤的人力资源和基本物资消耗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牙位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1170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1053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948</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013105190010000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种植牙冠修理费</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对产品保质保修条件外，种植牙冠脱落、崩瓷、嵌食、断裂等机械性或器质性损坏进行修理，恢复正常使用。价格构成涵盖种植修复置入体的检查、拆卸、修补、置入等人力资源和基本物资消耗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牙位</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013105170040000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医学3D</w:t>
            </w:r>
            <w:r>
              <w:rPr>
                <w:rStyle w:val="22"/>
                <w:rFonts w:hint="eastAsia" w:ascii="仿宋_GB2312" w:hAnsi="仿宋_GB2312" w:eastAsia="仿宋_GB2312" w:cs="仿宋_GB2312"/>
                <w:color w:val="000000" w:themeColor="text1"/>
                <w:sz w:val="21"/>
                <w:szCs w:val="21"/>
                <w:lang w:val="en-US" w:eastAsia="zh-CN" w:bidi="ar"/>
              </w:rPr>
              <w:t>建模（口腔）</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利用医学影像检查等手段获得患者特定部位的真实信息。通过数字技术构建的虚拟</w:t>
            </w:r>
            <w:r>
              <w:rPr>
                <w:rStyle w:val="23"/>
                <w:rFonts w:hint="eastAsia" w:ascii="仿宋_GB2312" w:hAnsi="仿宋_GB2312" w:eastAsia="仿宋_GB2312" w:cs="仿宋_GB2312"/>
                <w:color w:val="000000" w:themeColor="text1"/>
                <w:sz w:val="21"/>
                <w:szCs w:val="21"/>
                <w:lang w:val="en-US" w:eastAsia="zh-CN" w:bidi="ar"/>
              </w:rPr>
              <w:t>3D</w:t>
            </w:r>
            <w:r>
              <w:rPr>
                <w:rStyle w:val="21"/>
                <w:rFonts w:hint="eastAsia" w:ascii="仿宋_GB2312" w:hAnsi="仿宋_GB2312" w:eastAsia="仿宋_GB2312" w:cs="仿宋_GB2312"/>
                <w:color w:val="000000" w:themeColor="text1"/>
                <w:sz w:val="21"/>
                <w:szCs w:val="21"/>
                <w:lang w:val="en-US" w:eastAsia="zh-CN" w:bidi="ar"/>
              </w:rPr>
              <w:t>模型、真实再现口腔及颌面特定部位的形态，能够满足疾病诊断、手术规划、治疗及导板设计的需要。价格构成涵盖数字化扫描、建模、存储、传输，装置设计等步骤的人力资源和基本物资消耗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例</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225</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单颗常规种植应用医学3D建模按</w:t>
            </w:r>
            <w:r>
              <w:rPr>
                <w:rStyle w:val="23"/>
                <w:rFonts w:hint="eastAsia" w:ascii="仿宋_GB2312" w:hAnsi="仿宋_GB2312" w:eastAsia="仿宋_GB2312" w:cs="仿宋_GB2312"/>
                <w:sz w:val="21"/>
                <w:szCs w:val="21"/>
                <w:lang w:val="en-US" w:eastAsia="zh-CN" w:bidi="ar"/>
              </w:rPr>
              <w:t>5%</w:t>
            </w:r>
            <w:r>
              <w:rPr>
                <w:rStyle w:val="21"/>
                <w:rFonts w:hint="eastAsia" w:ascii="仿宋_GB2312" w:hAnsi="仿宋_GB2312" w:eastAsia="仿宋_GB2312" w:cs="仿宋_GB2312"/>
                <w:sz w:val="21"/>
                <w:szCs w:val="21"/>
                <w:lang w:val="en-US" w:eastAsia="zh-CN" w:bidi="ar"/>
              </w:rPr>
              <w:t>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013105230020000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医学3D</w:t>
            </w:r>
            <w:r>
              <w:rPr>
                <w:rStyle w:val="22"/>
                <w:rFonts w:hint="eastAsia" w:ascii="仿宋_GB2312" w:hAnsi="仿宋_GB2312" w:eastAsia="仿宋_GB2312" w:cs="仿宋_GB2312"/>
                <w:color w:val="000000" w:themeColor="text1"/>
                <w:sz w:val="21"/>
                <w:szCs w:val="21"/>
                <w:lang w:val="en-US" w:eastAsia="zh-CN" w:bidi="ar"/>
              </w:rPr>
              <w:t>模型打印（口腔）</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将虚拟</w:t>
            </w:r>
            <w:r>
              <w:rPr>
                <w:rStyle w:val="23"/>
                <w:rFonts w:hint="eastAsia" w:ascii="仿宋_GB2312" w:hAnsi="仿宋_GB2312" w:eastAsia="仿宋_GB2312" w:cs="仿宋_GB2312"/>
                <w:color w:val="000000" w:themeColor="text1"/>
                <w:sz w:val="21"/>
                <w:szCs w:val="21"/>
                <w:lang w:val="en-US" w:eastAsia="zh-CN" w:bidi="ar"/>
              </w:rPr>
              <w:t>3D</w:t>
            </w:r>
            <w:r>
              <w:rPr>
                <w:rStyle w:val="21"/>
                <w:rFonts w:hint="eastAsia" w:ascii="仿宋_GB2312" w:hAnsi="仿宋_GB2312" w:eastAsia="仿宋_GB2312" w:cs="仿宋_GB2312"/>
                <w:color w:val="000000" w:themeColor="text1"/>
                <w:sz w:val="21"/>
                <w:szCs w:val="21"/>
                <w:lang w:val="en-US" w:eastAsia="zh-CN" w:bidi="ar"/>
              </w:rPr>
              <w:t>模型打印或切削制作成仅用于口腔疾病诊断、手术规划、治疗及导板设计的实体模型。价格构成涵盖3D打印或切削制作的人力资源和基本物资消耗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FF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件</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320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320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单颗常规种植应用医学3D模型打印按5%计价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013105230030000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医学3D</w:t>
            </w:r>
            <w:r>
              <w:rPr>
                <w:rStyle w:val="22"/>
                <w:rFonts w:hint="eastAsia" w:ascii="仿宋_GB2312" w:hAnsi="仿宋_GB2312" w:eastAsia="仿宋_GB2312" w:cs="仿宋_GB2312"/>
                <w:color w:val="000000" w:themeColor="text1"/>
                <w:sz w:val="21"/>
                <w:szCs w:val="21"/>
                <w:lang w:val="en-US" w:eastAsia="zh-CN" w:bidi="ar"/>
              </w:rPr>
              <w:t>导板打印（口腔）</w:t>
            </w:r>
          </w:p>
        </w:tc>
        <w:tc>
          <w:tcPr>
            <w:tcW w:w="34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themeColor="text1"/>
                <w:sz w:val="21"/>
                <w:szCs w:val="21"/>
                <w:u w:val="none"/>
              </w:rPr>
            </w:pPr>
            <w:r>
              <w:rPr>
                <w:rFonts w:hint="eastAsia" w:ascii="仿宋_GB2312" w:hAnsi="仿宋_GB2312" w:eastAsia="仿宋_GB2312" w:cs="仿宋_GB2312"/>
                <w:i w:val="0"/>
                <w:iCs w:val="0"/>
                <w:color w:val="000000" w:themeColor="text1"/>
                <w:kern w:val="0"/>
                <w:sz w:val="21"/>
                <w:szCs w:val="21"/>
                <w:u w:val="none"/>
                <w:lang w:val="en-US" w:eastAsia="zh-CN" w:bidi="ar"/>
              </w:rPr>
              <w:t>将虚拟3D模型打印或切削制作成用于治疗部位、确保植（置）入物精准到达和处理预定位置的实物模板或手术操作对治疗部位进行精确处理。价格构成涵盖3D打印或切削制作的人力资源和基本物资消耗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FF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件</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1800</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1800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1800</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单颗常规种植应用医学3D导板打印按5%计价</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both"/>
        <w:rPr>
          <w:rFonts w:hint="eastAsia" w:ascii="微软雅黑" w:hAnsi="微软雅黑" w:eastAsia="微软雅黑" w:cs="微软雅黑"/>
          <w:b w:val="0"/>
          <w:bCs w:val="0"/>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both"/>
        <w:rPr>
          <w:rFonts w:hint="eastAsia" w:ascii="微软雅黑" w:hAnsi="微软雅黑" w:eastAsia="微软雅黑" w:cs="微软雅黑"/>
          <w:b w:val="0"/>
          <w:bCs w:val="0"/>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both"/>
        <w:rPr>
          <w:rFonts w:hint="eastAsia" w:ascii="微软雅黑" w:hAnsi="微软雅黑" w:eastAsia="微软雅黑" w:cs="微软雅黑"/>
          <w:b w:val="0"/>
          <w:bCs w:val="0"/>
          <w:sz w:val="21"/>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center"/>
        <w:rPr>
          <w:rFonts w:hint="eastAsia" w:ascii="方正小标宋简体" w:hAnsi="方正小标宋简体" w:eastAsia="方正小标宋简体" w:cs="方正小标宋简体"/>
          <w:b w:val="0"/>
          <w:bCs/>
          <w:sz w:val="44"/>
          <w:szCs w:val="44"/>
        </w:rPr>
      </w:pPr>
      <w:r>
        <w:rPr>
          <w:rStyle w:val="12"/>
          <w:rFonts w:hint="eastAsia" w:ascii="方正小标宋简体" w:hAnsi="方正小标宋简体" w:eastAsia="方正小标宋简体" w:cs="方正小标宋简体"/>
          <w:b w:val="0"/>
          <w:bCs/>
          <w:sz w:val="44"/>
          <w:szCs w:val="44"/>
        </w:rPr>
        <w:t>龈下刮治医疗服务价格项目表</w:t>
      </w:r>
    </w:p>
    <w:tbl>
      <w:tblPr>
        <w:tblStyle w:val="10"/>
        <w:tblW w:w="1387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12"/>
        <w:gridCol w:w="1429"/>
        <w:gridCol w:w="1125"/>
        <w:gridCol w:w="8152"/>
        <w:gridCol w:w="653"/>
        <w:gridCol w:w="652"/>
        <w:gridCol w:w="653"/>
        <w:gridCol w:w="6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rPr>
        <w:tc>
          <w:tcPr>
            <w:tcW w:w="512" w:type="dxa"/>
            <w:tcBorders>
              <w:top w:val="single" w:color="auto" w:sz="4" w:space="0"/>
              <w:left w:val="single" w:color="auto" w:sz="4" w:space="0"/>
              <w:bottom w:val="single" w:color="000000" w:sz="4" w:space="0"/>
              <w:right w:val="single" w:color="000000" w:sz="4" w:space="0"/>
            </w:tcBorders>
            <w:noWrap w:val="0"/>
            <w:tcMar>
              <w:top w:w="24" w:type="dxa"/>
              <w:left w:w="48" w:type="dxa"/>
              <w:bottom w:w="24" w:type="dxa"/>
              <w:right w:w="4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序号</w:t>
            </w:r>
          </w:p>
        </w:tc>
        <w:tc>
          <w:tcPr>
            <w:tcW w:w="1429" w:type="dxa"/>
            <w:tcBorders>
              <w:top w:val="single" w:color="auto" w:sz="4" w:space="0"/>
              <w:left w:val="nil"/>
              <w:bottom w:val="single" w:color="000000" w:sz="4" w:space="0"/>
              <w:right w:val="single" w:color="000000" w:sz="4" w:space="0"/>
            </w:tcBorders>
            <w:noWrap w:val="0"/>
            <w:tcMar>
              <w:top w:w="24" w:type="dxa"/>
              <w:left w:w="48" w:type="dxa"/>
              <w:bottom w:w="24" w:type="dxa"/>
              <w:right w:w="4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项目编码</w:t>
            </w:r>
          </w:p>
        </w:tc>
        <w:tc>
          <w:tcPr>
            <w:tcW w:w="1125" w:type="dxa"/>
            <w:tcBorders>
              <w:top w:val="single" w:color="auto" w:sz="4" w:space="0"/>
              <w:left w:val="nil"/>
              <w:bottom w:val="single" w:color="000000" w:sz="4" w:space="0"/>
              <w:right w:val="single" w:color="000000" w:sz="4" w:space="0"/>
            </w:tcBorders>
            <w:noWrap w:val="0"/>
            <w:tcMar>
              <w:top w:w="24" w:type="dxa"/>
              <w:left w:w="48" w:type="dxa"/>
              <w:bottom w:w="24" w:type="dxa"/>
              <w:right w:w="4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项目名称</w:t>
            </w:r>
          </w:p>
        </w:tc>
        <w:tc>
          <w:tcPr>
            <w:tcW w:w="8152" w:type="dxa"/>
            <w:tcBorders>
              <w:top w:val="single" w:color="auto" w:sz="4" w:space="0"/>
              <w:left w:val="nil"/>
              <w:bottom w:val="single" w:color="000000" w:sz="4" w:space="0"/>
              <w:right w:val="single" w:color="000000" w:sz="4" w:space="0"/>
            </w:tcBorders>
            <w:noWrap w:val="0"/>
            <w:tcMar>
              <w:top w:w="24" w:type="dxa"/>
              <w:left w:w="48" w:type="dxa"/>
              <w:bottom w:w="24" w:type="dxa"/>
              <w:right w:w="4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项目内涵</w:t>
            </w:r>
          </w:p>
        </w:tc>
        <w:tc>
          <w:tcPr>
            <w:tcW w:w="653" w:type="dxa"/>
            <w:tcBorders>
              <w:top w:val="single" w:color="auto" w:sz="4" w:space="0"/>
              <w:left w:val="nil"/>
              <w:bottom w:val="single" w:color="000000" w:sz="4" w:space="0"/>
              <w:right w:val="single" w:color="000000" w:sz="4" w:space="0"/>
            </w:tcBorders>
            <w:noWrap w:val="0"/>
            <w:tcMar>
              <w:top w:w="24" w:type="dxa"/>
              <w:left w:w="48" w:type="dxa"/>
              <w:bottom w:w="24" w:type="dxa"/>
              <w:right w:w="4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除外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内容</w:t>
            </w:r>
          </w:p>
        </w:tc>
        <w:tc>
          <w:tcPr>
            <w:tcW w:w="652" w:type="dxa"/>
            <w:tcBorders>
              <w:top w:val="single" w:color="auto" w:sz="4" w:space="0"/>
              <w:left w:val="nil"/>
              <w:bottom w:val="single" w:color="000000" w:sz="4" w:space="0"/>
              <w:right w:val="single" w:color="000000" w:sz="4" w:space="0"/>
            </w:tcBorders>
            <w:noWrap w:val="0"/>
            <w:tcMar>
              <w:top w:w="24" w:type="dxa"/>
              <w:left w:w="48" w:type="dxa"/>
              <w:bottom w:w="24" w:type="dxa"/>
              <w:right w:w="4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计价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单位</w:t>
            </w:r>
          </w:p>
        </w:tc>
        <w:tc>
          <w:tcPr>
            <w:tcW w:w="653" w:type="dxa"/>
            <w:tcBorders>
              <w:top w:val="single" w:color="auto" w:sz="4" w:space="0"/>
              <w:left w:val="nil"/>
              <w:bottom w:val="single" w:color="000000" w:sz="4" w:space="0"/>
              <w:right w:val="single" w:color="000000" w:sz="4" w:space="0"/>
            </w:tcBorders>
            <w:noWrap w:val="0"/>
            <w:tcMar>
              <w:top w:w="24" w:type="dxa"/>
              <w:left w:w="48" w:type="dxa"/>
              <w:bottom w:w="24" w:type="dxa"/>
              <w:right w:w="4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价格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（元）</w:t>
            </w:r>
          </w:p>
        </w:tc>
        <w:tc>
          <w:tcPr>
            <w:tcW w:w="696" w:type="dxa"/>
            <w:tcBorders>
              <w:top w:val="single" w:color="auto" w:sz="4" w:space="0"/>
              <w:left w:val="nil"/>
              <w:bottom w:val="single" w:color="000000" w:sz="4" w:space="0"/>
              <w:right w:val="single" w:color="auto" w:sz="4" w:space="0"/>
            </w:tcBorders>
            <w:noWrap w:val="0"/>
            <w:tcMar>
              <w:top w:w="24" w:type="dxa"/>
              <w:left w:w="48" w:type="dxa"/>
              <w:bottom w:w="24" w:type="dxa"/>
              <w:right w:w="4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60" w:hRule="atLeast"/>
        </w:trPr>
        <w:tc>
          <w:tcPr>
            <w:tcW w:w="512" w:type="dxa"/>
            <w:tcBorders>
              <w:top w:val="nil"/>
              <w:left w:val="single" w:color="auto" w:sz="4" w:space="0"/>
              <w:bottom w:val="single" w:color="auto" w:sz="4" w:space="0"/>
              <w:right w:val="single" w:color="000000" w:sz="4" w:space="0"/>
            </w:tcBorders>
            <w:noWrap w:val="0"/>
            <w:tcMar>
              <w:top w:w="24" w:type="dxa"/>
              <w:left w:w="48" w:type="dxa"/>
              <w:bottom w:w="24" w:type="dxa"/>
              <w:right w:w="4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p>
        </w:tc>
        <w:tc>
          <w:tcPr>
            <w:tcW w:w="1429" w:type="dxa"/>
            <w:tcBorders>
              <w:top w:val="nil"/>
              <w:left w:val="nil"/>
              <w:bottom w:val="single" w:color="auto" w:sz="4" w:space="0"/>
              <w:right w:val="single" w:color="000000" w:sz="4" w:space="0"/>
            </w:tcBorders>
            <w:noWrap w:val="0"/>
            <w:tcMar>
              <w:top w:w="24" w:type="dxa"/>
              <w:left w:w="48" w:type="dxa"/>
              <w:bottom w:w="24" w:type="dxa"/>
              <w:right w:w="4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31051300101</w:t>
            </w:r>
          </w:p>
        </w:tc>
        <w:tc>
          <w:tcPr>
            <w:tcW w:w="1125" w:type="dxa"/>
            <w:tcBorders>
              <w:top w:val="nil"/>
              <w:left w:val="nil"/>
              <w:bottom w:val="single" w:color="auto" w:sz="4" w:space="0"/>
              <w:right w:val="single" w:color="000000" w:sz="4" w:space="0"/>
            </w:tcBorders>
            <w:noWrap w:val="0"/>
            <w:tcMar>
              <w:top w:w="24" w:type="dxa"/>
              <w:left w:w="48" w:type="dxa"/>
              <w:bottom w:w="24" w:type="dxa"/>
              <w:right w:w="4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龈下刮治</w:t>
            </w:r>
          </w:p>
        </w:tc>
        <w:tc>
          <w:tcPr>
            <w:tcW w:w="8152" w:type="dxa"/>
            <w:tcBorders>
              <w:top w:val="nil"/>
              <w:left w:val="nil"/>
              <w:bottom w:val="single" w:color="auto" w:sz="4" w:space="0"/>
              <w:right w:val="single" w:color="000000" w:sz="4" w:space="0"/>
            </w:tcBorders>
            <w:noWrap w:val="0"/>
            <w:tcMar>
              <w:top w:w="24" w:type="dxa"/>
              <w:left w:w="48" w:type="dxa"/>
              <w:bottom w:w="24" w:type="dxa"/>
              <w:right w:w="4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口内消毒，用龈下超声工作尖或手持刮治器去除自然牙根各面龈下牙石、菌斑等的治疗过程，牙周袋冲洗上药</w:t>
            </w:r>
          </w:p>
        </w:tc>
        <w:tc>
          <w:tcPr>
            <w:tcW w:w="653" w:type="dxa"/>
            <w:tcBorders>
              <w:top w:val="nil"/>
              <w:left w:val="nil"/>
              <w:bottom w:val="single" w:color="auto" w:sz="4" w:space="0"/>
              <w:right w:val="single" w:color="000000" w:sz="4" w:space="0"/>
            </w:tcBorders>
            <w:noWrap w:val="0"/>
            <w:tcMar>
              <w:top w:w="24" w:type="dxa"/>
              <w:left w:w="48" w:type="dxa"/>
              <w:bottom w:w="24" w:type="dxa"/>
              <w:right w:w="48" w:type="dxa"/>
            </w:tcMar>
            <w:vAlign w:val="center"/>
          </w:tcPr>
          <w:p>
            <w:pPr>
              <w:keepNext w:val="0"/>
              <w:keepLines w:val="0"/>
              <w:widowControl/>
              <w:suppressLineNumbers w:val="0"/>
              <w:spacing w:before="0" w:beforeAutospacing="0" w:after="0" w:afterAutospacing="0" w:line="630" w:lineRule="atLeast"/>
              <w:ind w:left="0" w:right="0" w:firstLine="0"/>
              <w:jc w:val="both"/>
              <w:rPr>
                <w:rFonts w:hint="eastAsia" w:ascii="仿宋_GB2312" w:hAnsi="仿宋_GB2312" w:eastAsia="仿宋_GB2312" w:cs="仿宋_GB2312"/>
                <w:b w:val="0"/>
                <w:bCs w:val="0"/>
                <w:sz w:val="21"/>
                <w:szCs w:val="21"/>
              </w:rPr>
            </w:pPr>
          </w:p>
        </w:tc>
        <w:tc>
          <w:tcPr>
            <w:tcW w:w="652" w:type="dxa"/>
            <w:tcBorders>
              <w:top w:val="nil"/>
              <w:left w:val="nil"/>
              <w:bottom w:val="single" w:color="auto" w:sz="4" w:space="0"/>
              <w:right w:val="single" w:color="000000" w:sz="4" w:space="0"/>
            </w:tcBorders>
            <w:noWrap w:val="0"/>
            <w:tcMar>
              <w:top w:w="24" w:type="dxa"/>
              <w:left w:w="48" w:type="dxa"/>
              <w:bottom w:w="24" w:type="dxa"/>
              <w:right w:w="4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textAlignment w:val="top"/>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每牙</w:t>
            </w:r>
          </w:p>
        </w:tc>
        <w:tc>
          <w:tcPr>
            <w:tcW w:w="653" w:type="dxa"/>
            <w:tcBorders>
              <w:top w:val="nil"/>
              <w:left w:val="nil"/>
              <w:bottom w:val="single" w:color="auto" w:sz="4" w:space="0"/>
              <w:right w:val="single" w:color="000000" w:sz="4" w:space="0"/>
            </w:tcBorders>
            <w:noWrap w:val="0"/>
            <w:tcMar>
              <w:top w:w="24" w:type="dxa"/>
              <w:left w:w="48" w:type="dxa"/>
              <w:bottom w:w="24" w:type="dxa"/>
              <w:right w:w="4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textAlignment w:val="top"/>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30</w:t>
            </w:r>
          </w:p>
        </w:tc>
        <w:tc>
          <w:tcPr>
            <w:tcW w:w="696" w:type="dxa"/>
            <w:tcBorders>
              <w:top w:val="nil"/>
              <w:left w:val="nil"/>
              <w:bottom w:val="single" w:color="auto" w:sz="4" w:space="0"/>
              <w:right w:val="single" w:color="auto" w:sz="4" w:space="0"/>
            </w:tcBorders>
            <w:noWrap w:val="0"/>
            <w:tcMar>
              <w:top w:w="24" w:type="dxa"/>
              <w:left w:w="48" w:type="dxa"/>
              <w:bottom w:w="24" w:type="dxa"/>
              <w:right w:w="48" w:type="dxa"/>
            </w:tcMar>
            <w:vAlign w:val="center"/>
          </w:tcPr>
          <w:p>
            <w:pPr>
              <w:keepNext w:val="0"/>
              <w:keepLines w:val="0"/>
              <w:widowControl/>
              <w:suppressLineNumbers w:val="0"/>
              <w:spacing w:before="0" w:beforeAutospacing="0" w:after="0" w:afterAutospacing="0" w:line="630" w:lineRule="atLeast"/>
              <w:ind w:left="0" w:right="0" w:firstLine="0"/>
              <w:jc w:val="both"/>
              <w:rPr>
                <w:rFonts w:hint="eastAsia" w:ascii="仿宋_GB2312" w:hAnsi="仿宋_GB2312" w:eastAsia="仿宋_GB2312" w:cs="仿宋_GB2312"/>
                <w:b w:val="0"/>
                <w:bCs w:val="0"/>
                <w:sz w:val="21"/>
                <w:szCs w:val="21"/>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420"/>
        <w:jc w:val="both"/>
        <w:rPr>
          <w:rFonts w:hint="eastAsia" w:ascii="微软雅黑" w:hAnsi="微软雅黑" w:eastAsia="微软雅黑" w:cs="微软雅黑"/>
          <w:b w:val="0"/>
          <w:bCs w:val="0"/>
          <w:sz w:val="21"/>
          <w:szCs w:val="21"/>
        </w:rPr>
      </w:pPr>
    </w:p>
    <w:p>
      <w:pPr>
        <w:pStyle w:val="3"/>
        <w:rPr>
          <w:rFonts w:hint="eastAsia"/>
          <w:strike/>
          <w:dstrike w:val="0"/>
          <w:lang w:eastAsia="zh-CN"/>
        </w:rPr>
        <w:sectPr>
          <w:footerReference r:id="rId6" w:type="default"/>
          <w:footerReference r:id="rId7" w:type="even"/>
          <w:pgSz w:w="16838" w:h="11906" w:orient="landscape"/>
          <w:pgMar w:top="1701" w:right="1531" w:bottom="1701" w:left="1531" w:header="851" w:footer="992" w:gutter="0"/>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tbl>
      <w:tblPr>
        <w:tblStyle w:val="10"/>
        <w:tblpPr w:leftFromText="180" w:rightFromText="180" w:vertAnchor="page" w:horzAnchor="page" w:tblpX="1637" w:tblpY="14257"/>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86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8867"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142" w:firstLineChars="5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嘉兴市医疗保障局办公室                </w:t>
            </w:r>
            <w:r>
              <w:rPr>
                <w:rFonts w:hint="eastAsia" w:ascii="仿宋_GB2312" w:eastAsia="仿宋_GB2312"/>
                <w:color w:val="000000" w:themeColor="text1"/>
                <w:sz w:val="28"/>
                <w:szCs w:val="28"/>
                <w:lang w:val="en-US" w:eastAsia="zh-CN"/>
              </w:rPr>
              <w:t xml:space="preserve"> </w:t>
            </w:r>
            <w:r>
              <w:rPr>
                <w:rFonts w:hint="eastAsia" w:ascii="仿宋_GB2312" w:eastAsia="仿宋_GB2312"/>
                <w:color w:val="000000" w:themeColor="text1"/>
                <w:sz w:val="28"/>
                <w:szCs w:val="28"/>
              </w:rPr>
              <w:t>202</w:t>
            </w:r>
            <w:r>
              <w:rPr>
                <w:rFonts w:hint="eastAsia" w:ascii="仿宋_GB2312" w:eastAsia="仿宋_GB2312"/>
                <w:color w:val="000000" w:themeColor="text1"/>
                <w:sz w:val="28"/>
                <w:szCs w:val="28"/>
                <w:lang w:val="en-US" w:eastAsia="zh-CN"/>
              </w:rPr>
              <w:t>3</w:t>
            </w:r>
            <w:r>
              <w:rPr>
                <w:rFonts w:hint="eastAsia" w:ascii="仿宋_GB2312" w:eastAsia="仿宋_GB2312"/>
                <w:color w:val="000000" w:themeColor="text1"/>
                <w:sz w:val="28"/>
                <w:szCs w:val="28"/>
              </w:rPr>
              <w:t>年</w:t>
            </w:r>
            <w:r>
              <w:rPr>
                <w:rFonts w:hint="eastAsia" w:ascii="仿宋_GB2312" w:eastAsia="仿宋_GB2312"/>
                <w:color w:val="000000" w:themeColor="text1"/>
                <w:sz w:val="28"/>
                <w:szCs w:val="28"/>
                <w:lang w:val="en-US" w:eastAsia="zh-CN"/>
              </w:rPr>
              <w:t>3</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lang w:val="en-US" w:eastAsia="zh-CN"/>
              </w:rPr>
              <w:t>23</w:t>
            </w:r>
            <w:r>
              <w:rPr>
                <w:rFonts w:hint="eastAsia" w:ascii="仿宋_GB2312" w:eastAsia="仿宋_GB2312"/>
                <w:color w:val="000000" w:themeColor="text1"/>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inorEastAsia"/>
          <w:color w:val="000000" w:themeColor="text1"/>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olor w:val="000000" w:themeColor="text1"/>
          <w:sz w:val="32"/>
          <w:szCs w:val="32"/>
        </w:rPr>
      </w:pPr>
      <w:r>
        <w:rPr>
          <w:rFonts w:hint="eastAsia" w:ascii="仿宋_GB2312" w:eastAsia="仿宋_GB2312" w:hAnsiTheme="minorEastAsia"/>
          <w:color w:val="000000" w:themeColor="text1"/>
          <w:sz w:val="32"/>
          <w:szCs w:val="32"/>
        </w:rPr>
        <w:t xml:space="preserve">  </w:t>
      </w:r>
      <w:r>
        <w:rPr>
          <w:rFonts w:hint="eastAsia" w:ascii="黑体" w:hAnsi="黑体" w:eastAsia="黑体"/>
          <w:color w:val="000000" w:themeColor="text1"/>
          <w:sz w:val="32"/>
          <w:szCs w:val="32"/>
        </w:rPr>
        <w:t>主动公开</w:t>
      </w:r>
    </w:p>
    <w:sectPr>
      <w:pgSz w:w="11906" w:h="16838"/>
      <w:pgMar w:top="1985" w:right="1531" w:bottom="1985" w:left="1531" w:header="851" w:footer="992" w:gutter="0"/>
      <w:cols w:space="0" w:num="1"/>
      <w:docGrid w:type="linesAndChars" w:linePitch="312" w:charSpace="9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9888"/>
    </w:sdtPr>
    <w:sdtContent>
      <w:p>
        <w:pPr>
          <w:pStyle w:val="6"/>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13</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9902"/>
    </w:sdtPr>
    <w:sdtEndPr>
      <w:rPr>
        <w:rFonts w:asciiTheme="minorEastAsia" w:hAnsiTheme="minorEastAsia"/>
        <w:sz w:val="28"/>
        <w:szCs w:val="28"/>
      </w:rPr>
    </w:sdtEndPr>
    <w:sdtContent>
      <w:p>
        <w:pPr>
          <w:pStyle w:val="6"/>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9888"/>
    </w:sdtPr>
    <w:sdtContent>
      <w:p>
        <w:pPr>
          <w:pStyle w:val="6"/>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13</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9902"/>
    </w:sdtPr>
    <w:sdtEndPr>
      <w:rPr>
        <w:rFonts w:asciiTheme="minorEastAsia" w:hAnsiTheme="minorEastAsia"/>
        <w:sz w:val="28"/>
        <w:szCs w:val="28"/>
      </w:rPr>
    </w:sdtEndPr>
    <w:sdtContent>
      <w:p>
        <w:pPr>
          <w:pStyle w:val="6"/>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7"/>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I2Y2YxMDc2NzgzYmNkN2QwYmNiODY3Y2Q4ODJmZGQifQ=="/>
  </w:docVars>
  <w:rsids>
    <w:rsidRoot w:val="00042D56"/>
    <w:rsid w:val="000048C1"/>
    <w:rsid w:val="00006220"/>
    <w:rsid w:val="00011B0F"/>
    <w:rsid w:val="000353E3"/>
    <w:rsid w:val="00041BE9"/>
    <w:rsid w:val="00042D56"/>
    <w:rsid w:val="000546F8"/>
    <w:rsid w:val="00070891"/>
    <w:rsid w:val="00071BBF"/>
    <w:rsid w:val="00093D23"/>
    <w:rsid w:val="000A1D34"/>
    <w:rsid w:val="000B2942"/>
    <w:rsid w:val="000C0B3B"/>
    <w:rsid w:val="000C6F42"/>
    <w:rsid w:val="000D701B"/>
    <w:rsid w:val="000E0FEC"/>
    <w:rsid w:val="000E4070"/>
    <w:rsid w:val="000E531E"/>
    <w:rsid w:val="00120CD5"/>
    <w:rsid w:val="00121F9D"/>
    <w:rsid w:val="00122A8B"/>
    <w:rsid w:val="00125087"/>
    <w:rsid w:val="0013597C"/>
    <w:rsid w:val="00137D81"/>
    <w:rsid w:val="00170B9F"/>
    <w:rsid w:val="001A07A2"/>
    <w:rsid w:val="001A5BFC"/>
    <w:rsid w:val="001B2372"/>
    <w:rsid w:val="001C589C"/>
    <w:rsid w:val="001E562D"/>
    <w:rsid w:val="00212FF5"/>
    <w:rsid w:val="0024421B"/>
    <w:rsid w:val="00244DE5"/>
    <w:rsid w:val="002451FB"/>
    <w:rsid w:val="00251E9C"/>
    <w:rsid w:val="0027205A"/>
    <w:rsid w:val="00274EB5"/>
    <w:rsid w:val="00275D20"/>
    <w:rsid w:val="00276A06"/>
    <w:rsid w:val="00280559"/>
    <w:rsid w:val="00294404"/>
    <w:rsid w:val="002A32D6"/>
    <w:rsid w:val="002B49B5"/>
    <w:rsid w:val="002C101E"/>
    <w:rsid w:val="002C215B"/>
    <w:rsid w:val="002D0A25"/>
    <w:rsid w:val="002E4B08"/>
    <w:rsid w:val="002E7197"/>
    <w:rsid w:val="0032027E"/>
    <w:rsid w:val="00371C28"/>
    <w:rsid w:val="00381F67"/>
    <w:rsid w:val="003A2A29"/>
    <w:rsid w:val="003B4EF9"/>
    <w:rsid w:val="003C1700"/>
    <w:rsid w:val="003D6829"/>
    <w:rsid w:val="003E0B06"/>
    <w:rsid w:val="00403248"/>
    <w:rsid w:val="00405425"/>
    <w:rsid w:val="00413F6E"/>
    <w:rsid w:val="0041503C"/>
    <w:rsid w:val="00415AA7"/>
    <w:rsid w:val="0041687F"/>
    <w:rsid w:val="00430DFA"/>
    <w:rsid w:val="00442277"/>
    <w:rsid w:val="004457CC"/>
    <w:rsid w:val="004567AD"/>
    <w:rsid w:val="00463127"/>
    <w:rsid w:val="00467DA8"/>
    <w:rsid w:val="00472418"/>
    <w:rsid w:val="0048286B"/>
    <w:rsid w:val="004C12FF"/>
    <w:rsid w:val="004C5921"/>
    <w:rsid w:val="004D454F"/>
    <w:rsid w:val="004D5C7D"/>
    <w:rsid w:val="004F797C"/>
    <w:rsid w:val="0050672B"/>
    <w:rsid w:val="005074A4"/>
    <w:rsid w:val="00532B57"/>
    <w:rsid w:val="0053558B"/>
    <w:rsid w:val="005570E5"/>
    <w:rsid w:val="00571C4F"/>
    <w:rsid w:val="00582665"/>
    <w:rsid w:val="005827D8"/>
    <w:rsid w:val="005945BF"/>
    <w:rsid w:val="005A2D20"/>
    <w:rsid w:val="005A59DB"/>
    <w:rsid w:val="005A619E"/>
    <w:rsid w:val="005B0BAE"/>
    <w:rsid w:val="005B405F"/>
    <w:rsid w:val="005C00E7"/>
    <w:rsid w:val="005C761D"/>
    <w:rsid w:val="005F684E"/>
    <w:rsid w:val="00600DAC"/>
    <w:rsid w:val="0062533B"/>
    <w:rsid w:val="00647F76"/>
    <w:rsid w:val="00655524"/>
    <w:rsid w:val="00655625"/>
    <w:rsid w:val="00657E3D"/>
    <w:rsid w:val="006607E9"/>
    <w:rsid w:val="00662214"/>
    <w:rsid w:val="00666FAA"/>
    <w:rsid w:val="0067473C"/>
    <w:rsid w:val="0069749C"/>
    <w:rsid w:val="006A383D"/>
    <w:rsid w:val="006A4314"/>
    <w:rsid w:val="006B4FBB"/>
    <w:rsid w:val="006C0C2F"/>
    <w:rsid w:val="006C2220"/>
    <w:rsid w:val="006C332E"/>
    <w:rsid w:val="006D3A70"/>
    <w:rsid w:val="00706B62"/>
    <w:rsid w:val="00726961"/>
    <w:rsid w:val="0073282D"/>
    <w:rsid w:val="0073513B"/>
    <w:rsid w:val="0076140A"/>
    <w:rsid w:val="00764121"/>
    <w:rsid w:val="007870F1"/>
    <w:rsid w:val="007A49C0"/>
    <w:rsid w:val="007B38D2"/>
    <w:rsid w:val="007C47CD"/>
    <w:rsid w:val="007C5C59"/>
    <w:rsid w:val="007E6210"/>
    <w:rsid w:val="007E7169"/>
    <w:rsid w:val="00801B19"/>
    <w:rsid w:val="00805FE0"/>
    <w:rsid w:val="0080730C"/>
    <w:rsid w:val="008310C5"/>
    <w:rsid w:val="00843DD0"/>
    <w:rsid w:val="00853191"/>
    <w:rsid w:val="008577F3"/>
    <w:rsid w:val="0086706B"/>
    <w:rsid w:val="0088337A"/>
    <w:rsid w:val="0089069C"/>
    <w:rsid w:val="008A44CA"/>
    <w:rsid w:val="008A56CB"/>
    <w:rsid w:val="008B0327"/>
    <w:rsid w:val="008B34B2"/>
    <w:rsid w:val="008B44B0"/>
    <w:rsid w:val="008B4C1F"/>
    <w:rsid w:val="008C1029"/>
    <w:rsid w:val="008C1572"/>
    <w:rsid w:val="008C23DB"/>
    <w:rsid w:val="008C6BA3"/>
    <w:rsid w:val="008E2C8F"/>
    <w:rsid w:val="00902266"/>
    <w:rsid w:val="009233AE"/>
    <w:rsid w:val="0093240C"/>
    <w:rsid w:val="009D616D"/>
    <w:rsid w:val="009E07ED"/>
    <w:rsid w:val="009E267D"/>
    <w:rsid w:val="009E339E"/>
    <w:rsid w:val="009F2D10"/>
    <w:rsid w:val="009F45F7"/>
    <w:rsid w:val="00A17E35"/>
    <w:rsid w:val="00A33CEB"/>
    <w:rsid w:val="00A415A6"/>
    <w:rsid w:val="00A429C5"/>
    <w:rsid w:val="00A51194"/>
    <w:rsid w:val="00A51F09"/>
    <w:rsid w:val="00A522D5"/>
    <w:rsid w:val="00A541B7"/>
    <w:rsid w:val="00A616BC"/>
    <w:rsid w:val="00A62A20"/>
    <w:rsid w:val="00A8784F"/>
    <w:rsid w:val="00A9258D"/>
    <w:rsid w:val="00A9609A"/>
    <w:rsid w:val="00AA160A"/>
    <w:rsid w:val="00AA7CA2"/>
    <w:rsid w:val="00AB7F0C"/>
    <w:rsid w:val="00AF2C8F"/>
    <w:rsid w:val="00AF6A80"/>
    <w:rsid w:val="00B02545"/>
    <w:rsid w:val="00B0737B"/>
    <w:rsid w:val="00B26E22"/>
    <w:rsid w:val="00B327F4"/>
    <w:rsid w:val="00B51637"/>
    <w:rsid w:val="00B53847"/>
    <w:rsid w:val="00B55D3B"/>
    <w:rsid w:val="00B7619B"/>
    <w:rsid w:val="00B777C6"/>
    <w:rsid w:val="00B81351"/>
    <w:rsid w:val="00BA285D"/>
    <w:rsid w:val="00BB3C29"/>
    <w:rsid w:val="00BC11D4"/>
    <w:rsid w:val="00BC5191"/>
    <w:rsid w:val="00BD6DDD"/>
    <w:rsid w:val="00BE2E9E"/>
    <w:rsid w:val="00BF599B"/>
    <w:rsid w:val="00C06E6E"/>
    <w:rsid w:val="00C205B1"/>
    <w:rsid w:val="00C21A74"/>
    <w:rsid w:val="00C30301"/>
    <w:rsid w:val="00C3415B"/>
    <w:rsid w:val="00C348CD"/>
    <w:rsid w:val="00C41F76"/>
    <w:rsid w:val="00C42654"/>
    <w:rsid w:val="00C43F11"/>
    <w:rsid w:val="00C60605"/>
    <w:rsid w:val="00C63064"/>
    <w:rsid w:val="00C6645C"/>
    <w:rsid w:val="00C802C6"/>
    <w:rsid w:val="00C83CD3"/>
    <w:rsid w:val="00CB514D"/>
    <w:rsid w:val="00CB7035"/>
    <w:rsid w:val="00CC42F5"/>
    <w:rsid w:val="00CC7776"/>
    <w:rsid w:val="00CE3EAC"/>
    <w:rsid w:val="00CE7BD9"/>
    <w:rsid w:val="00CF0C6C"/>
    <w:rsid w:val="00D0169B"/>
    <w:rsid w:val="00D031E4"/>
    <w:rsid w:val="00D03CD8"/>
    <w:rsid w:val="00D23856"/>
    <w:rsid w:val="00D260C0"/>
    <w:rsid w:val="00D40487"/>
    <w:rsid w:val="00D42F5D"/>
    <w:rsid w:val="00D519D8"/>
    <w:rsid w:val="00D743FA"/>
    <w:rsid w:val="00D74B96"/>
    <w:rsid w:val="00D77D19"/>
    <w:rsid w:val="00D801EA"/>
    <w:rsid w:val="00D83782"/>
    <w:rsid w:val="00D91486"/>
    <w:rsid w:val="00DB6559"/>
    <w:rsid w:val="00DC371A"/>
    <w:rsid w:val="00DC7E3B"/>
    <w:rsid w:val="00DF0F8E"/>
    <w:rsid w:val="00E03EB7"/>
    <w:rsid w:val="00E046B8"/>
    <w:rsid w:val="00E05617"/>
    <w:rsid w:val="00E3362F"/>
    <w:rsid w:val="00E42399"/>
    <w:rsid w:val="00E42DF1"/>
    <w:rsid w:val="00E46452"/>
    <w:rsid w:val="00E621FD"/>
    <w:rsid w:val="00E71E61"/>
    <w:rsid w:val="00E80F3F"/>
    <w:rsid w:val="00EA76C7"/>
    <w:rsid w:val="00EB016F"/>
    <w:rsid w:val="00EB1EE9"/>
    <w:rsid w:val="00EB7B8C"/>
    <w:rsid w:val="00EC22D5"/>
    <w:rsid w:val="00EC22E5"/>
    <w:rsid w:val="00EE1261"/>
    <w:rsid w:val="00EE1E5A"/>
    <w:rsid w:val="00EF57EE"/>
    <w:rsid w:val="00EF7686"/>
    <w:rsid w:val="00F03370"/>
    <w:rsid w:val="00F10A01"/>
    <w:rsid w:val="00F14718"/>
    <w:rsid w:val="00F43CB7"/>
    <w:rsid w:val="00F47B00"/>
    <w:rsid w:val="00F50381"/>
    <w:rsid w:val="00F567D1"/>
    <w:rsid w:val="00F764B0"/>
    <w:rsid w:val="00F76D65"/>
    <w:rsid w:val="00F85058"/>
    <w:rsid w:val="00F9142D"/>
    <w:rsid w:val="00F92EB8"/>
    <w:rsid w:val="00F9668E"/>
    <w:rsid w:val="00F9797D"/>
    <w:rsid w:val="00FA193E"/>
    <w:rsid w:val="00FA1D24"/>
    <w:rsid w:val="00FC30E9"/>
    <w:rsid w:val="00FC3496"/>
    <w:rsid w:val="00FC52A5"/>
    <w:rsid w:val="00FD2642"/>
    <w:rsid w:val="00FD2F9E"/>
    <w:rsid w:val="00FE14A1"/>
    <w:rsid w:val="00FE2E6E"/>
    <w:rsid w:val="00FF0CFC"/>
    <w:rsid w:val="04A26564"/>
    <w:rsid w:val="19416756"/>
    <w:rsid w:val="2CDEFA6C"/>
    <w:rsid w:val="2CE46872"/>
    <w:rsid w:val="33F12CB9"/>
    <w:rsid w:val="37F9FC29"/>
    <w:rsid w:val="397D0D54"/>
    <w:rsid w:val="3AF7F4C8"/>
    <w:rsid w:val="3BFAC52F"/>
    <w:rsid w:val="3FE5C838"/>
    <w:rsid w:val="3FE7FD88"/>
    <w:rsid w:val="3FF90CD1"/>
    <w:rsid w:val="3FFB118C"/>
    <w:rsid w:val="3FFE9349"/>
    <w:rsid w:val="4A5F4AEE"/>
    <w:rsid w:val="4DCF5CD9"/>
    <w:rsid w:val="595F78B9"/>
    <w:rsid w:val="5DBA38F9"/>
    <w:rsid w:val="5DDECD4A"/>
    <w:rsid w:val="5DDF58AF"/>
    <w:rsid w:val="5F9B2E6D"/>
    <w:rsid w:val="6C3B01BB"/>
    <w:rsid w:val="6CABB28D"/>
    <w:rsid w:val="6CDD8E65"/>
    <w:rsid w:val="6D7F5EE8"/>
    <w:rsid w:val="6E3F6FF3"/>
    <w:rsid w:val="6FBF2567"/>
    <w:rsid w:val="6FF77218"/>
    <w:rsid w:val="6FFE0667"/>
    <w:rsid w:val="73ED85D5"/>
    <w:rsid w:val="753BEDA4"/>
    <w:rsid w:val="7927A325"/>
    <w:rsid w:val="79CCEEA5"/>
    <w:rsid w:val="7CD78C4E"/>
    <w:rsid w:val="7CFB649F"/>
    <w:rsid w:val="7F7BF902"/>
    <w:rsid w:val="7F7D58EC"/>
    <w:rsid w:val="7FBE3374"/>
    <w:rsid w:val="7FF7D4B8"/>
    <w:rsid w:val="7FFC1E61"/>
    <w:rsid w:val="7FFDD3DC"/>
    <w:rsid w:val="87DE1369"/>
    <w:rsid w:val="9EF5F050"/>
    <w:rsid w:val="B7270161"/>
    <w:rsid w:val="B779C1EA"/>
    <w:rsid w:val="B7FA3FFD"/>
    <w:rsid w:val="B9DF0C38"/>
    <w:rsid w:val="BBEFC6F1"/>
    <w:rsid w:val="BCECAF9C"/>
    <w:rsid w:val="BDFD2E61"/>
    <w:rsid w:val="BFA2CD19"/>
    <w:rsid w:val="BFFDEF74"/>
    <w:rsid w:val="C7BBA5B9"/>
    <w:rsid w:val="C8FEC577"/>
    <w:rsid w:val="CFCED8FC"/>
    <w:rsid w:val="CFE8A1A8"/>
    <w:rsid w:val="D78EB6EB"/>
    <w:rsid w:val="DBFA7C58"/>
    <w:rsid w:val="DE9B102C"/>
    <w:rsid w:val="DED5F37B"/>
    <w:rsid w:val="DF6F60BC"/>
    <w:rsid w:val="DFFF29E3"/>
    <w:rsid w:val="E2DBFBE9"/>
    <w:rsid w:val="E79ADB74"/>
    <w:rsid w:val="EAB58B9C"/>
    <w:rsid w:val="EBEF994A"/>
    <w:rsid w:val="EEA7042A"/>
    <w:rsid w:val="EFF6919A"/>
    <w:rsid w:val="F17FC2AD"/>
    <w:rsid w:val="F3E9152E"/>
    <w:rsid w:val="F5F98D5B"/>
    <w:rsid w:val="F69DA6F5"/>
    <w:rsid w:val="F6BA139B"/>
    <w:rsid w:val="F73D5AE1"/>
    <w:rsid w:val="F7BECD28"/>
    <w:rsid w:val="FA3C1AA9"/>
    <w:rsid w:val="FB1CD56A"/>
    <w:rsid w:val="FBF388F7"/>
    <w:rsid w:val="FBF794CD"/>
    <w:rsid w:val="FD7C1C32"/>
    <w:rsid w:val="FDF79472"/>
    <w:rsid w:val="FDFA686C"/>
    <w:rsid w:val="FE1F0437"/>
    <w:rsid w:val="FF3F88B6"/>
    <w:rsid w:val="FFB6670C"/>
    <w:rsid w:val="FFFBA5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pPr>
    <w:rPr>
      <w:sz w:val="28"/>
    </w:rPr>
  </w:style>
  <w:style w:type="paragraph" w:styleId="3">
    <w:name w:val="Body Text"/>
    <w:basedOn w:val="1"/>
    <w:next w:val="2"/>
    <w:qFormat/>
    <w:uiPriority w:val="0"/>
    <w:pPr>
      <w:spacing w:before="0" w:after="140" w:line="276" w:lineRule="auto"/>
    </w:pPr>
  </w:style>
  <w:style w:type="paragraph" w:styleId="4">
    <w:name w:val="annotation text"/>
    <w:basedOn w:val="1"/>
    <w:link w:val="18"/>
    <w:semiHidden/>
    <w:unhideWhenUsed/>
    <w:qFormat/>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 w:type="paragraph" w:styleId="9">
    <w:name w:val="annotation subject"/>
    <w:basedOn w:val="4"/>
    <w:next w:val="4"/>
    <w:link w:val="19"/>
    <w:semiHidden/>
    <w:unhideWhenUsed/>
    <w:qFormat/>
    <w:uiPriority w:val="99"/>
    <w:rPr>
      <w:b/>
      <w:bCs/>
    </w:rPr>
  </w:style>
  <w:style w:type="character" w:styleId="12">
    <w:name w:val="Strong"/>
    <w:basedOn w:val="11"/>
    <w:qFormat/>
    <w:uiPriority w:val="0"/>
    <w:rPr>
      <w:b/>
    </w:rPr>
  </w:style>
  <w:style w:type="character" w:styleId="13">
    <w:name w:val="annotation reference"/>
    <w:basedOn w:val="11"/>
    <w:semiHidden/>
    <w:unhideWhenUsed/>
    <w:qFormat/>
    <w:uiPriority w:val="99"/>
    <w:rPr>
      <w:sz w:val="21"/>
      <w:szCs w:val="21"/>
    </w:rPr>
  </w:style>
  <w:style w:type="paragraph" w:customStyle="1" w:styleId="14">
    <w:name w:val="正文首行缩进1"/>
    <w:basedOn w:val="3"/>
    <w:qFormat/>
    <w:uiPriority w:val="0"/>
    <w:pPr>
      <w:spacing w:line="500" w:lineRule="exact"/>
      <w:ind w:firstLine="420"/>
    </w:pPr>
    <w:rPr>
      <w:sz w:val="28"/>
      <w:szCs w:val="20"/>
    </w:rPr>
  </w:style>
  <w:style w:type="paragraph" w:styleId="15">
    <w:name w:val="List Paragraph"/>
    <w:basedOn w:val="1"/>
    <w:qFormat/>
    <w:uiPriority w:val="34"/>
    <w:pPr>
      <w:ind w:firstLine="420" w:firstLineChars="200"/>
    </w:pPr>
  </w:style>
  <w:style w:type="character" w:customStyle="1" w:styleId="16">
    <w:name w:val="页眉 Char"/>
    <w:basedOn w:val="11"/>
    <w:link w:val="7"/>
    <w:qFormat/>
    <w:uiPriority w:val="99"/>
    <w:rPr>
      <w:sz w:val="18"/>
      <w:szCs w:val="18"/>
    </w:rPr>
  </w:style>
  <w:style w:type="character" w:customStyle="1" w:styleId="17">
    <w:name w:val="页脚 Char"/>
    <w:basedOn w:val="11"/>
    <w:link w:val="6"/>
    <w:qFormat/>
    <w:uiPriority w:val="99"/>
    <w:rPr>
      <w:sz w:val="18"/>
      <w:szCs w:val="18"/>
    </w:rPr>
  </w:style>
  <w:style w:type="character" w:customStyle="1" w:styleId="18">
    <w:name w:val="批注文字 Char"/>
    <w:basedOn w:val="11"/>
    <w:link w:val="4"/>
    <w:semiHidden/>
    <w:qFormat/>
    <w:uiPriority w:val="99"/>
  </w:style>
  <w:style w:type="character" w:customStyle="1" w:styleId="19">
    <w:name w:val="批注主题 Char"/>
    <w:basedOn w:val="18"/>
    <w:link w:val="9"/>
    <w:semiHidden/>
    <w:qFormat/>
    <w:uiPriority w:val="99"/>
    <w:rPr>
      <w:b/>
      <w:bCs/>
    </w:rPr>
  </w:style>
  <w:style w:type="character" w:customStyle="1" w:styleId="20">
    <w:name w:val="批注框文本 Char"/>
    <w:basedOn w:val="11"/>
    <w:link w:val="5"/>
    <w:semiHidden/>
    <w:qFormat/>
    <w:uiPriority w:val="99"/>
    <w:rPr>
      <w:sz w:val="18"/>
      <w:szCs w:val="18"/>
    </w:rPr>
  </w:style>
  <w:style w:type="character" w:customStyle="1" w:styleId="21">
    <w:name w:val="font11"/>
    <w:basedOn w:val="11"/>
    <w:qFormat/>
    <w:uiPriority w:val="0"/>
    <w:rPr>
      <w:rFonts w:hint="eastAsia" w:ascii="宋体" w:hAnsi="宋体" w:eastAsia="宋体" w:cs="宋体"/>
      <w:color w:val="000000"/>
      <w:sz w:val="20"/>
      <w:szCs w:val="20"/>
      <w:u w:val="none"/>
    </w:rPr>
  </w:style>
  <w:style w:type="character" w:customStyle="1" w:styleId="22">
    <w:name w:val="font51"/>
    <w:basedOn w:val="11"/>
    <w:qFormat/>
    <w:uiPriority w:val="0"/>
    <w:rPr>
      <w:rFonts w:hint="eastAsia" w:ascii="宋体" w:hAnsi="宋体" w:eastAsia="宋体" w:cs="宋体"/>
      <w:color w:val="0000FF"/>
      <w:sz w:val="20"/>
      <w:szCs w:val="20"/>
      <w:u w:val="none"/>
    </w:rPr>
  </w:style>
  <w:style w:type="character" w:customStyle="1" w:styleId="23">
    <w:name w:val="font4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4495</Words>
  <Characters>5114</Characters>
  <Lines>43</Lines>
  <Paragraphs>12</Paragraphs>
  <TotalTime>20</TotalTime>
  <ScaleCrop>false</ScaleCrop>
  <LinksUpToDate>false</LinksUpToDate>
  <CharactersWithSpaces>5133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2020-12-06T07:43:00Z</dcterms:created>
  <dc:creator>jkc-lwf</dc:creator>
  <cp:lastModifiedBy>guest</cp:lastModifiedBy>
  <cp:lastPrinted>2020-12-24T09:08:00Z</cp:lastPrinted>
  <dcterms:modified xsi:type="dcterms:W3CDTF">2023-03-23T15:58:53Z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B036F9477C594941BD0844620AE1FFE8</vt:lpwstr>
  </property>
</Properties>
</file>