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20</w:t>
      </w:r>
      <w:r w:rsidR="009E31C6">
        <w:rPr>
          <w:rFonts w:ascii="宋体" w:hAnsi="宋体" w:cs="宋体" w:hint="eastAsia"/>
          <w:sz w:val="36"/>
          <w:szCs w:val="36"/>
        </w:rPr>
        <w:t>1015</w:t>
      </w:r>
      <w:r>
        <w:rPr>
          <w:rFonts w:ascii="宋体" w:hAnsi="宋体" w:cs="宋体" w:hint="eastAsia"/>
          <w:sz w:val="36"/>
          <w:szCs w:val="36"/>
        </w:rPr>
        <w:t>-0</w:t>
      </w:r>
      <w:r w:rsidR="009E31C6">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Pr="007D1EE2">
        <w:rPr>
          <w:rFonts w:ascii="宋体" w:hAnsi="宋体" w:hint="eastAsia"/>
          <w:sz w:val="36"/>
          <w:szCs w:val="36"/>
          <w:lang w:val="de-DE"/>
        </w:rPr>
        <w:t>常规医疗设备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20</w:t>
      </w:r>
      <w:r>
        <w:rPr>
          <w:rFonts w:hint="eastAsia"/>
          <w:sz w:val="32"/>
        </w:rPr>
        <w:t>年</w:t>
      </w:r>
      <w:r w:rsidR="009E31C6">
        <w:rPr>
          <w:rFonts w:hint="eastAsia"/>
          <w:sz w:val="32"/>
        </w:rPr>
        <w:t>9</w:t>
      </w:r>
      <w:r>
        <w:rPr>
          <w:rFonts w:hint="eastAsia"/>
          <w:sz w:val="32"/>
        </w:rPr>
        <w:t>月</w:t>
      </w:r>
    </w:p>
    <w:p w:rsidR="00BB34BA" w:rsidRDefault="00736673"/>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w:t>
      </w:r>
      <w:r w:rsidR="00A26FF0">
        <w:rPr>
          <w:rFonts w:ascii="仿宋_GB2312" w:eastAsia="仿宋_GB2312" w:hAnsi="宋体" w:cs="宋体" w:hint="eastAsia"/>
          <w:sz w:val="28"/>
          <w:szCs w:val="28"/>
        </w:rPr>
        <w:t>20</w:t>
      </w:r>
      <w:r w:rsidR="009E31C6">
        <w:rPr>
          <w:rFonts w:ascii="仿宋_GB2312" w:eastAsia="仿宋_GB2312" w:hAnsi="宋体" w:cs="宋体" w:hint="eastAsia"/>
          <w:sz w:val="28"/>
          <w:szCs w:val="28"/>
        </w:rPr>
        <w:t>1015</w:t>
      </w:r>
      <w:r>
        <w:rPr>
          <w:rFonts w:ascii="仿宋_GB2312" w:eastAsia="仿宋_GB2312" w:hAnsi="宋体" w:cs="宋体" w:hint="eastAsia"/>
          <w:sz w:val="28"/>
          <w:szCs w:val="28"/>
        </w:rPr>
        <w:t>-0</w:t>
      </w:r>
      <w:r w:rsidR="009E31C6">
        <w:rPr>
          <w:rFonts w:ascii="仿宋_GB2312" w:eastAsia="仿宋_GB2312" w:hAnsi="宋体" w:cs="宋体" w:hint="eastAsia"/>
          <w:sz w:val="28"/>
          <w:szCs w:val="28"/>
        </w:rPr>
        <w:t>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6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828"/>
        <w:gridCol w:w="1038"/>
        <w:gridCol w:w="1371"/>
      </w:tblGrid>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482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03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3C2E1B" w:rsidRDefault="009E31C6"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4828" w:type="dxa"/>
            <w:tcBorders>
              <w:top w:val="single" w:sz="4" w:space="0" w:color="auto"/>
              <w:left w:val="single" w:sz="4" w:space="0" w:color="auto"/>
              <w:bottom w:val="single" w:sz="4" w:space="0" w:color="auto"/>
              <w:right w:val="single" w:sz="4" w:space="0" w:color="auto"/>
            </w:tcBorders>
          </w:tcPr>
          <w:p w:rsidR="003C2E1B" w:rsidRPr="00392385" w:rsidRDefault="009E31C6" w:rsidP="00F774F5">
            <w:pPr>
              <w:ind w:left="3080" w:hangingChars="1100" w:hanging="3080"/>
              <w:jc w:val="center"/>
              <w:rPr>
                <w:rFonts w:ascii="仿宋_GB2312" w:eastAsia="仿宋_GB2312" w:hAnsi="宋体" w:cs="宋体"/>
                <w:sz w:val="28"/>
                <w:szCs w:val="28"/>
              </w:rPr>
            </w:pPr>
            <w:r w:rsidRPr="00572D7A">
              <w:rPr>
                <w:rFonts w:ascii="仿宋_GB2312" w:eastAsia="仿宋_GB2312" w:hAnsi="宋体" w:cs="宋体" w:hint="eastAsia"/>
                <w:sz w:val="28"/>
                <w:szCs w:val="28"/>
              </w:rPr>
              <w:t>多功能超声清创治疗机</w:t>
            </w:r>
          </w:p>
        </w:tc>
        <w:tc>
          <w:tcPr>
            <w:tcW w:w="1038" w:type="dxa"/>
            <w:tcBorders>
              <w:top w:val="single" w:sz="4" w:space="0" w:color="auto"/>
              <w:left w:val="single" w:sz="4" w:space="0" w:color="auto"/>
              <w:bottom w:val="single" w:sz="4" w:space="0" w:color="auto"/>
              <w:right w:val="single" w:sz="4" w:space="0" w:color="auto"/>
            </w:tcBorders>
            <w:vAlign w:val="center"/>
          </w:tcPr>
          <w:p w:rsidR="003C2E1B" w:rsidRPr="003C2E1B" w:rsidRDefault="009E31C6"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371" w:type="dxa"/>
            <w:tcBorders>
              <w:top w:val="single" w:sz="4" w:space="0" w:color="auto"/>
              <w:left w:val="single" w:sz="4" w:space="0" w:color="auto"/>
              <w:bottom w:val="single" w:sz="4" w:space="0" w:color="auto"/>
              <w:right w:val="single" w:sz="4" w:space="0" w:color="auto"/>
            </w:tcBorders>
            <w:vAlign w:val="center"/>
          </w:tcPr>
          <w:p w:rsidR="003C2E1B" w:rsidRPr="003C2E1B" w:rsidRDefault="009E31C6"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台</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9E31C6">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9E31C6">
        <w:rPr>
          <w:rFonts w:ascii="仿宋_GB2312" w:eastAsia="仿宋_GB2312" w:hAnsi="宋体" w:cs="宋体" w:hint="eastAsia"/>
          <w:sz w:val="28"/>
          <w:szCs w:val="28"/>
        </w:rPr>
        <w:t>14</w:t>
      </w:r>
      <w:r>
        <w:rPr>
          <w:rFonts w:ascii="仿宋_GB2312" w:eastAsia="仿宋_GB2312" w:hAnsi="宋体" w:cs="宋体" w:hint="eastAsia"/>
          <w:sz w:val="28"/>
          <w:szCs w:val="28"/>
        </w:rPr>
        <w:t>日1</w:t>
      </w:r>
      <w:r w:rsidR="009E31C6">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r w:rsidR="009E31C6">
        <w:rPr>
          <w:rFonts w:ascii="仿宋_GB2312" w:eastAsia="仿宋_GB2312" w:hAnsi="宋体" w:cs="宋体" w:hint="eastAsia"/>
          <w:sz w:val="28"/>
          <w:szCs w:val="28"/>
        </w:rPr>
        <w:t>,</w:t>
      </w:r>
      <w:r w:rsidR="009E31C6" w:rsidRPr="009E31C6">
        <w:rPr>
          <w:rFonts w:ascii="仿宋_GB2312" w:eastAsia="仿宋_GB2312" w:hAnsi="宋体" w:cs="宋体" w:hint="eastAsia"/>
          <w:sz w:val="28"/>
          <w:szCs w:val="28"/>
        </w:rPr>
        <w:t xml:space="preserve"> </w:t>
      </w:r>
      <w:r w:rsidR="009E31C6">
        <w:rPr>
          <w:rFonts w:ascii="仿宋_GB2312" w:eastAsia="仿宋_GB2312" w:hAnsi="宋体" w:cs="宋体" w:hint="eastAsia"/>
          <w:sz w:val="28"/>
          <w:szCs w:val="28"/>
        </w:rPr>
        <w:t>10月1日-10月8日休息</w:t>
      </w:r>
      <w:r>
        <w:rPr>
          <w:rFonts w:ascii="仿宋_GB2312" w:eastAsia="仿宋_GB2312" w:hAnsi="宋体" w:cs="宋体" w:hint="eastAsia"/>
          <w:sz w:val="28"/>
          <w:szCs w:val="28"/>
        </w:rPr>
        <w:t>）</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20</w:t>
      </w:r>
      <w:r>
        <w:rPr>
          <w:rFonts w:ascii="仿宋_GB2312" w:eastAsia="仿宋_GB2312" w:hAnsi="宋体" w:cs="宋体" w:hint="eastAsia"/>
          <w:sz w:val="28"/>
          <w:szCs w:val="28"/>
        </w:rPr>
        <w:t>年</w:t>
      </w:r>
      <w:r w:rsidR="009E31C6">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9E31C6">
        <w:rPr>
          <w:rFonts w:ascii="仿宋_GB2312" w:eastAsia="仿宋_GB2312" w:hAnsi="宋体" w:cs="宋体" w:hint="eastAsia"/>
          <w:sz w:val="28"/>
          <w:szCs w:val="28"/>
        </w:rPr>
        <w:t>15</w:t>
      </w:r>
      <w:r>
        <w:rPr>
          <w:rFonts w:ascii="仿宋_GB2312" w:eastAsia="仿宋_GB2312" w:hAnsi="宋体" w:cs="宋体" w:hint="eastAsia"/>
          <w:sz w:val="28"/>
          <w:szCs w:val="28"/>
        </w:rPr>
        <w:t>日1</w:t>
      </w:r>
      <w:r w:rsidR="00A26FF0">
        <w:rPr>
          <w:rFonts w:ascii="仿宋_GB2312" w:eastAsia="仿宋_GB2312" w:hAnsi="宋体" w:cs="宋体" w:hint="eastAsia"/>
          <w:sz w:val="28"/>
          <w:szCs w:val="28"/>
        </w:rPr>
        <w:t>4</w:t>
      </w:r>
      <w:r>
        <w:rPr>
          <w:rFonts w:ascii="仿宋_GB2312" w:eastAsia="仿宋_GB2312" w:hAnsi="宋体" w:cs="宋体" w:hint="eastAsia"/>
          <w:sz w:val="28"/>
          <w:szCs w:val="28"/>
        </w:rPr>
        <w:t>点</w:t>
      </w:r>
      <w:r w:rsidR="00A26FF0">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常规医疗设备，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9E31C6" w:rsidRPr="003C2E1B" w:rsidTr="00392385">
        <w:tc>
          <w:tcPr>
            <w:tcW w:w="1371" w:type="dxa"/>
            <w:tcBorders>
              <w:top w:val="single" w:sz="4" w:space="0" w:color="auto"/>
              <w:left w:val="single" w:sz="4" w:space="0" w:color="auto"/>
              <w:bottom w:val="single" w:sz="4" w:space="0" w:color="auto"/>
              <w:right w:val="single" w:sz="4" w:space="0" w:color="auto"/>
            </w:tcBorders>
          </w:tcPr>
          <w:p w:rsidR="009E31C6" w:rsidRPr="009E31C6" w:rsidRDefault="009E31C6" w:rsidP="001D4997">
            <w:pPr>
              <w:widowControl/>
              <w:spacing w:before="60" w:after="60" w:line="360" w:lineRule="auto"/>
              <w:ind w:left="60" w:right="60"/>
              <w:jc w:val="center"/>
              <w:rPr>
                <w:rFonts w:ascii="仿宋_GB2312" w:eastAsia="仿宋_GB2312" w:hAnsi="宋体" w:cs="宋体"/>
                <w:sz w:val="24"/>
              </w:rPr>
            </w:pPr>
            <w:r w:rsidRPr="009E31C6">
              <w:rPr>
                <w:rFonts w:ascii="仿宋_GB2312" w:eastAsia="仿宋_GB2312" w:hAnsi="宋体" w:cs="宋体" w:hint="eastAsia"/>
                <w:sz w:val="24"/>
              </w:rPr>
              <w:t>1</w:t>
            </w:r>
          </w:p>
        </w:tc>
        <w:tc>
          <w:tcPr>
            <w:tcW w:w="4686" w:type="dxa"/>
            <w:tcBorders>
              <w:top w:val="single" w:sz="4" w:space="0" w:color="auto"/>
              <w:left w:val="single" w:sz="4" w:space="0" w:color="auto"/>
              <w:bottom w:val="single" w:sz="4" w:space="0" w:color="auto"/>
              <w:right w:val="single" w:sz="4" w:space="0" w:color="auto"/>
            </w:tcBorders>
          </w:tcPr>
          <w:p w:rsidR="009E31C6" w:rsidRPr="009E31C6" w:rsidRDefault="009E31C6" w:rsidP="009E31C6">
            <w:pPr>
              <w:ind w:left="2640" w:hangingChars="1100" w:hanging="2640"/>
              <w:jc w:val="center"/>
              <w:rPr>
                <w:rFonts w:ascii="仿宋_GB2312" w:eastAsia="仿宋_GB2312" w:hAnsi="宋体" w:cs="宋体"/>
                <w:sz w:val="24"/>
              </w:rPr>
            </w:pPr>
            <w:r w:rsidRPr="009E31C6">
              <w:rPr>
                <w:rFonts w:ascii="仿宋_GB2312" w:eastAsia="仿宋_GB2312" w:hAnsi="宋体" w:cs="宋体" w:hint="eastAsia"/>
                <w:sz w:val="24"/>
              </w:rPr>
              <w:t>多功能超声清创治疗机</w:t>
            </w:r>
          </w:p>
        </w:tc>
        <w:tc>
          <w:tcPr>
            <w:tcW w:w="1418" w:type="dxa"/>
            <w:tcBorders>
              <w:top w:val="single" w:sz="4" w:space="0" w:color="auto"/>
              <w:left w:val="single" w:sz="4" w:space="0" w:color="auto"/>
              <w:bottom w:val="single" w:sz="4" w:space="0" w:color="auto"/>
              <w:right w:val="single" w:sz="4" w:space="0" w:color="auto"/>
            </w:tcBorders>
            <w:vAlign w:val="center"/>
          </w:tcPr>
          <w:p w:rsidR="009E31C6" w:rsidRPr="009E31C6" w:rsidRDefault="009E31C6" w:rsidP="001D4997">
            <w:pPr>
              <w:spacing w:line="360" w:lineRule="auto"/>
              <w:jc w:val="center"/>
              <w:rPr>
                <w:rFonts w:ascii="仿宋_GB2312" w:eastAsia="仿宋_GB2312" w:hAnsi="宋体" w:cs="宋体"/>
                <w:sz w:val="24"/>
              </w:rPr>
            </w:pPr>
            <w:r w:rsidRPr="009E31C6">
              <w:rPr>
                <w:rFonts w:ascii="仿宋_GB2312" w:eastAsia="仿宋_GB2312" w:hAnsi="宋体" w:cs="宋体" w:hint="eastAsia"/>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9E31C6" w:rsidRPr="009E31C6" w:rsidRDefault="009E31C6" w:rsidP="001D4997">
            <w:pPr>
              <w:spacing w:line="360" w:lineRule="auto"/>
              <w:jc w:val="center"/>
              <w:rPr>
                <w:rFonts w:ascii="仿宋_GB2312" w:eastAsia="仿宋_GB2312" w:hAnsi="宋体" w:cs="宋体"/>
                <w:sz w:val="24"/>
              </w:rPr>
            </w:pPr>
            <w:r w:rsidRPr="009E31C6">
              <w:rPr>
                <w:rFonts w:ascii="仿宋_GB2312" w:eastAsia="仿宋_GB2312" w:hAnsi="宋体" w:cs="宋体" w:hint="eastAsia"/>
                <w:sz w:val="24"/>
              </w:rPr>
              <w:t>台</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1.主机</w:t>
      </w: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 1.1、适用范围：适用于医疗机构对人体部分可直接接触的污染与感染部位的超声清创。</w:t>
      </w: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 1.2、具有数字控温功能：可将手柄流出的液体温度控制在20～35℃内，降低低温刺激提升患者舒适度。</w:t>
      </w: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 xml:space="preserve"> 1.3、有效超声输出频率范围：36～44KHz；超声工作频率40KHz±1KHz，频率自动跟踪。</w:t>
      </w:r>
    </w:p>
    <w:p w:rsid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1.</w:t>
      </w:r>
      <w:r>
        <w:rPr>
          <w:rFonts w:ascii="仿宋_GB2312" w:eastAsia="仿宋_GB2312" w:hAnsi="宋体" w:cs="宋体" w:hint="eastAsia"/>
          <w:sz w:val="24"/>
        </w:rPr>
        <w:t>4</w:t>
      </w:r>
      <w:r w:rsidRPr="009E31C6">
        <w:rPr>
          <w:rFonts w:ascii="仿宋_GB2312" w:eastAsia="仿宋_GB2312" w:hAnsi="宋体" w:cs="宋体" w:hint="eastAsia"/>
          <w:sz w:val="24"/>
        </w:rPr>
        <w:t>、超声清创液体流量：≥50mL/min，连续可调。</w:t>
      </w:r>
    </w:p>
    <w:p w:rsidR="009E31C6" w:rsidRPr="009E31C6" w:rsidRDefault="009E31C6" w:rsidP="009E31C6">
      <w:pPr>
        <w:rPr>
          <w:rFonts w:ascii="仿宋_GB2312" w:eastAsia="仿宋_GB2312" w:hAnsi="宋体" w:cs="宋体" w:hint="eastAsia"/>
          <w:sz w:val="24"/>
        </w:rPr>
      </w:pP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2手柄</w:t>
      </w: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 2.1、超声刀头经过生物相容性试验（有医疗器械检测中心的检验报告），可以直接接触伤口。</w:t>
      </w: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2.2、超声手柄采用TC4钛合金材质。</w:t>
      </w: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 xml:space="preserve">2.3、超声治疗手柄长寿命设计，可重复使用，使用寿命为5年。  </w:t>
      </w:r>
    </w:p>
    <w:p w:rsidR="009E31C6" w:rsidRPr="009E31C6" w:rsidRDefault="009E31C6" w:rsidP="009E31C6">
      <w:pPr>
        <w:rPr>
          <w:rFonts w:ascii="仿宋_GB2312" w:eastAsia="仿宋_GB2312" w:hAnsi="宋体" w:cs="宋体" w:hint="eastAsia"/>
          <w:sz w:val="24"/>
        </w:rPr>
      </w:pPr>
      <w:r w:rsidRPr="009E31C6">
        <w:rPr>
          <w:rFonts w:ascii="仿宋_GB2312" w:eastAsia="仿宋_GB2312" w:hAnsi="宋体" w:cs="宋体" w:hint="eastAsia"/>
          <w:sz w:val="24"/>
        </w:rPr>
        <w:t>2.4    超声手柄前端振幅  ≥60μm。有效超声输出功率：&lt;60W。</w:t>
      </w:r>
    </w:p>
    <w:p w:rsidR="009E31C6" w:rsidRPr="009E31C6" w:rsidRDefault="009E31C6" w:rsidP="009E31C6">
      <w:pPr>
        <w:rPr>
          <w:rFonts w:ascii="仿宋_GB2312" w:eastAsia="仿宋_GB2312" w:hAnsi="宋体" w:cs="宋体"/>
          <w:sz w:val="24"/>
        </w:rPr>
      </w:pPr>
      <w:r w:rsidRPr="009E31C6">
        <w:rPr>
          <w:rFonts w:ascii="仿宋_GB2312" w:eastAsia="仿宋_GB2312" w:hAnsi="宋体" w:cs="宋体" w:hint="eastAsia"/>
          <w:sz w:val="24"/>
        </w:rPr>
        <w:t>2.5、超声清创治疗刀头设计种类≥4种</w:t>
      </w:r>
    </w:p>
    <w:p w:rsidR="009E31C6" w:rsidRPr="009E31C6" w:rsidRDefault="009E31C6" w:rsidP="004F7443">
      <w:pPr>
        <w:rPr>
          <w:rFonts w:ascii="仿宋_GB2312" w:eastAsia="仿宋_GB2312" w:hAnsi="宋体" w:cs="宋体"/>
          <w:sz w:val="24"/>
        </w:rPr>
      </w:pPr>
    </w:p>
    <w:p w:rsidR="004F7443" w:rsidRPr="009E31C6" w:rsidRDefault="004F7443" w:rsidP="004F7443"/>
    <w:p w:rsidR="006868BF" w:rsidRPr="00863766" w:rsidRDefault="006868BF" w:rsidP="00EB3DAA">
      <w:pPr>
        <w:spacing w:line="360" w:lineRule="auto"/>
        <w:ind w:left="482" w:hangingChars="200" w:hanging="482"/>
        <w:jc w:val="center"/>
        <w:rPr>
          <w:b/>
          <w:bCs/>
          <w:color w:val="000000"/>
          <w:sz w:val="24"/>
        </w:rPr>
      </w:pPr>
    </w:p>
    <w:p w:rsidR="00EB3DAA" w:rsidRPr="004911CC" w:rsidRDefault="00EB3DAA" w:rsidP="00EB3DAA">
      <w:pPr>
        <w:spacing w:line="360" w:lineRule="auto"/>
        <w:rPr>
          <w:rFonts w:ascii="仿宋_GB2312" w:eastAsia="仿宋_GB2312" w:cs="宋体"/>
          <w:sz w:val="28"/>
          <w:szCs w:val="28"/>
        </w:rPr>
      </w:pP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673" w:rsidRDefault="00736673" w:rsidP="003C2E1B">
      <w:r>
        <w:separator/>
      </w:r>
    </w:p>
  </w:endnote>
  <w:endnote w:type="continuationSeparator" w:id="1">
    <w:p w:rsidR="00736673" w:rsidRDefault="00736673"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673" w:rsidRDefault="00736673" w:rsidP="003C2E1B">
      <w:r>
        <w:separator/>
      </w:r>
    </w:p>
  </w:footnote>
  <w:footnote w:type="continuationSeparator" w:id="1">
    <w:p w:rsidR="00736673" w:rsidRDefault="00736673"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B4949"/>
    <w:rsid w:val="00144DC3"/>
    <w:rsid w:val="001B110F"/>
    <w:rsid w:val="001E5AC4"/>
    <w:rsid w:val="002257CE"/>
    <w:rsid w:val="00236EAF"/>
    <w:rsid w:val="00252815"/>
    <w:rsid w:val="0026296A"/>
    <w:rsid w:val="00262A55"/>
    <w:rsid w:val="00274C6E"/>
    <w:rsid w:val="002A369C"/>
    <w:rsid w:val="002D4BB8"/>
    <w:rsid w:val="00332A53"/>
    <w:rsid w:val="003537A5"/>
    <w:rsid w:val="00353E8D"/>
    <w:rsid w:val="00370040"/>
    <w:rsid w:val="00392385"/>
    <w:rsid w:val="00395876"/>
    <w:rsid w:val="003A059C"/>
    <w:rsid w:val="003A6FD1"/>
    <w:rsid w:val="003B190D"/>
    <w:rsid w:val="003C2E1B"/>
    <w:rsid w:val="004768C3"/>
    <w:rsid w:val="004859EE"/>
    <w:rsid w:val="004911CC"/>
    <w:rsid w:val="0049551B"/>
    <w:rsid w:val="004A159E"/>
    <w:rsid w:val="004F7443"/>
    <w:rsid w:val="00542038"/>
    <w:rsid w:val="00546905"/>
    <w:rsid w:val="005C17E4"/>
    <w:rsid w:val="005D54F3"/>
    <w:rsid w:val="005F7087"/>
    <w:rsid w:val="006672FC"/>
    <w:rsid w:val="006868BF"/>
    <w:rsid w:val="006B2102"/>
    <w:rsid w:val="006D1F02"/>
    <w:rsid w:val="007131AC"/>
    <w:rsid w:val="0072642A"/>
    <w:rsid w:val="00736673"/>
    <w:rsid w:val="007408C5"/>
    <w:rsid w:val="007551F2"/>
    <w:rsid w:val="007572DF"/>
    <w:rsid w:val="00781C48"/>
    <w:rsid w:val="007D607F"/>
    <w:rsid w:val="007F1630"/>
    <w:rsid w:val="008569FB"/>
    <w:rsid w:val="00863766"/>
    <w:rsid w:val="008656FF"/>
    <w:rsid w:val="00877349"/>
    <w:rsid w:val="00890836"/>
    <w:rsid w:val="008B096B"/>
    <w:rsid w:val="00907240"/>
    <w:rsid w:val="0092164D"/>
    <w:rsid w:val="009577A1"/>
    <w:rsid w:val="00964FED"/>
    <w:rsid w:val="00976C9C"/>
    <w:rsid w:val="009977C2"/>
    <w:rsid w:val="009D1BD0"/>
    <w:rsid w:val="009E31C6"/>
    <w:rsid w:val="00A0355E"/>
    <w:rsid w:val="00A23D66"/>
    <w:rsid w:val="00A26FF0"/>
    <w:rsid w:val="00A9108E"/>
    <w:rsid w:val="00AA0BE5"/>
    <w:rsid w:val="00AC25AE"/>
    <w:rsid w:val="00AD48DB"/>
    <w:rsid w:val="00B12269"/>
    <w:rsid w:val="00B44726"/>
    <w:rsid w:val="00B62650"/>
    <w:rsid w:val="00BC15CA"/>
    <w:rsid w:val="00BF40F0"/>
    <w:rsid w:val="00C65D3D"/>
    <w:rsid w:val="00CB514A"/>
    <w:rsid w:val="00CB53F7"/>
    <w:rsid w:val="00CD7EC3"/>
    <w:rsid w:val="00D43BEB"/>
    <w:rsid w:val="00D5708A"/>
    <w:rsid w:val="00D82366"/>
    <w:rsid w:val="00D9613E"/>
    <w:rsid w:val="00D96CDC"/>
    <w:rsid w:val="00DD5ADF"/>
    <w:rsid w:val="00E13EC1"/>
    <w:rsid w:val="00E32AEF"/>
    <w:rsid w:val="00E33FA8"/>
    <w:rsid w:val="00E55CF5"/>
    <w:rsid w:val="00EA6148"/>
    <w:rsid w:val="00EB3DAA"/>
    <w:rsid w:val="00F774F5"/>
    <w:rsid w:val="00F821F9"/>
    <w:rsid w:val="00F96255"/>
    <w:rsid w:val="00FC7198"/>
    <w:rsid w:val="00FD6A0E"/>
    <w:rsid w:val="00FE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Words>
  <Characters>2063</Characters>
  <Application>Microsoft Office Word</Application>
  <DocSecurity>0</DocSecurity>
  <Lines>17</Lines>
  <Paragraphs>4</Paragraphs>
  <ScaleCrop>false</ScaleCrop>
  <Company>Sky123.Org</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2</cp:revision>
  <cp:lastPrinted>2019-01-09T01:43:00Z</cp:lastPrinted>
  <dcterms:created xsi:type="dcterms:W3CDTF">2020-09-28T07:58:00Z</dcterms:created>
  <dcterms:modified xsi:type="dcterms:W3CDTF">2020-09-28T07:58:00Z</dcterms:modified>
</cp:coreProperties>
</file>