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4F7443">
        <w:rPr>
          <w:rFonts w:ascii="宋体" w:hAnsi="宋体" w:cs="宋体" w:hint="eastAsia"/>
          <w:sz w:val="36"/>
          <w:szCs w:val="36"/>
        </w:rPr>
        <w:t>0</w:t>
      </w:r>
      <w:r w:rsidR="00AB23C3">
        <w:rPr>
          <w:rFonts w:ascii="宋体" w:hAnsi="宋体" w:cs="宋体" w:hint="eastAsia"/>
          <w:sz w:val="36"/>
          <w:szCs w:val="36"/>
        </w:rPr>
        <w:t>812</w:t>
      </w:r>
      <w:r>
        <w:rPr>
          <w:rFonts w:ascii="宋体" w:hAnsi="宋体" w:cs="宋体" w:hint="eastAsia"/>
          <w:sz w:val="36"/>
          <w:szCs w:val="36"/>
        </w:rPr>
        <w:t>-0</w:t>
      </w:r>
      <w:r w:rsidR="00FF271D">
        <w:rPr>
          <w:rFonts w:ascii="宋体" w:hAnsi="宋体" w:cs="宋体" w:hint="eastAsia"/>
          <w:sz w:val="36"/>
          <w:szCs w:val="36"/>
        </w:rPr>
        <w:t>2</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Pr="007D1EE2">
        <w:rPr>
          <w:rFonts w:ascii="宋体" w:hAnsi="宋体" w:hint="eastAsia"/>
          <w:sz w:val="36"/>
          <w:szCs w:val="36"/>
          <w:lang w:val="de-DE"/>
        </w:rPr>
        <w:t>常规医疗设备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FF271D">
        <w:rPr>
          <w:rFonts w:hint="eastAsia"/>
          <w:sz w:val="32"/>
        </w:rPr>
        <w:t>8</w:t>
      </w:r>
      <w:r>
        <w:rPr>
          <w:rFonts w:hint="eastAsia"/>
          <w:sz w:val="32"/>
        </w:rPr>
        <w:t>月</w:t>
      </w:r>
    </w:p>
    <w:p w:rsidR="00BB34BA" w:rsidRDefault="003A2D88"/>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AB23C3" w:rsidRPr="00AB23C3">
        <w:rPr>
          <w:rFonts w:ascii="仿宋_GB2312" w:eastAsia="仿宋_GB2312" w:hAnsi="宋体" w:cs="宋体"/>
          <w:sz w:val="28"/>
          <w:szCs w:val="28"/>
        </w:rPr>
        <w:t>20</w:t>
      </w:r>
      <w:r w:rsidR="00AB23C3" w:rsidRPr="00AB23C3">
        <w:rPr>
          <w:rFonts w:ascii="仿宋_GB2312" w:eastAsia="仿宋_GB2312" w:hAnsi="宋体" w:cs="宋体" w:hint="eastAsia"/>
          <w:sz w:val="28"/>
          <w:szCs w:val="28"/>
        </w:rPr>
        <w:t>200812-0</w:t>
      </w:r>
      <w:r w:rsidR="00FF271D">
        <w:rPr>
          <w:rFonts w:ascii="仿宋_GB2312" w:eastAsia="仿宋_GB2312" w:hAnsi="宋体" w:cs="宋体" w:hint="eastAsia"/>
          <w:sz w:val="28"/>
          <w:szCs w:val="28"/>
        </w:rPr>
        <w:t>2</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3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694"/>
        <w:gridCol w:w="992"/>
        <w:gridCol w:w="993"/>
        <w:gridCol w:w="1275"/>
      </w:tblGrid>
      <w:tr w:rsidR="00920A40" w:rsidRPr="000078D5" w:rsidTr="00920A40">
        <w:tc>
          <w:tcPr>
            <w:tcW w:w="1371" w:type="dxa"/>
            <w:tcBorders>
              <w:top w:val="single" w:sz="4" w:space="0" w:color="auto"/>
              <w:left w:val="single" w:sz="4" w:space="0" w:color="auto"/>
              <w:bottom w:val="single" w:sz="4" w:space="0" w:color="auto"/>
              <w:right w:val="single" w:sz="4" w:space="0" w:color="auto"/>
            </w:tcBorders>
          </w:tcPr>
          <w:p w:rsidR="00920A40" w:rsidRPr="000078D5" w:rsidRDefault="00920A40"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694" w:type="dxa"/>
            <w:tcBorders>
              <w:top w:val="single" w:sz="4" w:space="0" w:color="auto"/>
              <w:left w:val="single" w:sz="4" w:space="0" w:color="auto"/>
              <w:bottom w:val="single" w:sz="4" w:space="0" w:color="auto"/>
              <w:right w:val="single" w:sz="4" w:space="0" w:color="auto"/>
            </w:tcBorders>
          </w:tcPr>
          <w:p w:rsidR="00920A40" w:rsidRPr="000078D5" w:rsidRDefault="00920A40"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992" w:type="dxa"/>
            <w:tcBorders>
              <w:top w:val="single" w:sz="4" w:space="0" w:color="auto"/>
              <w:left w:val="single" w:sz="4" w:space="0" w:color="auto"/>
              <w:bottom w:val="single" w:sz="4" w:space="0" w:color="auto"/>
              <w:right w:val="single" w:sz="4" w:space="0" w:color="auto"/>
            </w:tcBorders>
          </w:tcPr>
          <w:p w:rsidR="00920A40" w:rsidRPr="000078D5" w:rsidRDefault="00920A40"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993" w:type="dxa"/>
            <w:tcBorders>
              <w:top w:val="single" w:sz="4" w:space="0" w:color="auto"/>
              <w:left w:val="single" w:sz="4" w:space="0" w:color="auto"/>
              <w:bottom w:val="single" w:sz="4" w:space="0" w:color="auto"/>
              <w:right w:val="single" w:sz="4" w:space="0" w:color="auto"/>
            </w:tcBorders>
          </w:tcPr>
          <w:p w:rsidR="00920A40" w:rsidRPr="000078D5" w:rsidRDefault="00920A40"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1275" w:type="dxa"/>
            <w:shd w:val="clear" w:color="auto" w:fill="auto"/>
          </w:tcPr>
          <w:p w:rsidR="00920A40" w:rsidRPr="000078D5" w:rsidRDefault="00920A40" w:rsidP="00920A40">
            <w:pPr>
              <w:widowControl/>
              <w:spacing w:before="60" w:after="60" w:line="360" w:lineRule="auto"/>
              <w:ind w:left="60" w:right="60"/>
              <w:jc w:val="center"/>
            </w:pPr>
            <w:r w:rsidRPr="00920A40">
              <w:rPr>
                <w:rFonts w:ascii="宋体" w:hAnsi="宋体" w:hint="eastAsia"/>
                <w:color w:val="000000"/>
                <w:kern w:val="0"/>
                <w:szCs w:val="21"/>
              </w:rPr>
              <w:t>预算</w:t>
            </w:r>
          </w:p>
        </w:tc>
      </w:tr>
      <w:tr w:rsidR="00920A40" w:rsidRPr="000078D5" w:rsidTr="00920A40">
        <w:tc>
          <w:tcPr>
            <w:tcW w:w="1371" w:type="dxa"/>
            <w:tcBorders>
              <w:top w:val="single" w:sz="4" w:space="0" w:color="auto"/>
              <w:left w:val="single" w:sz="4" w:space="0" w:color="auto"/>
              <w:bottom w:val="single" w:sz="4" w:space="0" w:color="auto"/>
              <w:right w:val="single" w:sz="4" w:space="0" w:color="auto"/>
            </w:tcBorders>
          </w:tcPr>
          <w:p w:rsidR="00920A40" w:rsidRPr="003C2E1B" w:rsidRDefault="00920A40"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3694" w:type="dxa"/>
            <w:tcBorders>
              <w:top w:val="single" w:sz="4" w:space="0" w:color="auto"/>
              <w:left w:val="single" w:sz="4" w:space="0" w:color="auto"/>
              <w:bottom w:val="single" w:sz="4" w:space="0" w:color="auto"/>
              <w:right w:val="single" w:sz="4" w:space="0" w:color="auto"/>
            </w:tcBorders>
          </w:tcPr>
          <w:p w:rsidR="00920A40" w:rsidRPr="00392385" w:rsidRDefault="00920A40" w:rsidP="00F774F5">
            <w:pPr>
              <w:ind w:left="3080" w:hangingChars="1100" w:hanging="3080"/>
              <w:jc w:val="center"/>
              <w:rPr>
                <w:rFonts w:ascii="仿宋_GB2312" w:eastAsia="仿宋_GB2312" w:hAnsi="宋体" w:cs="宋体"/>
                <w:sz w:val="28"/>
                <w:szCs w:val="28"/>
              </w:rPr>
            </w:pPr>
            <w:r w:rsidRPr="00715C70">
              <w:rPr>
                <w:rFonts w:ascii="仿宋_GB2312" w:eastAsia="仿宋_GB2312" w:hAnsi="宋体" w:cs="宋体" w:hint="eastAsia"/>
                <w:sz w:val="28"/>
                <w:szCs w:val="28"/>
              </w:rPr>
              <w:t>腹膜透析管理信息系统</w:t>
            </w:r>
          </w:p>
        </w:tc>
        <w:tc>
          <w:tcPr>
            <w:tcW w:w="992" w:type="dxa"/>
            <w:tcBorders>
              <w:top w:val="single" w:sz="4" w:space="0" w:color="auto"/>
              <w:left w:val="single" w:sz="4" w:space="0" w:color="auto"/>
              <w:bottom w:val="single" w:sz="4" w:space="0" w:color="auto"/>
              <w:right w:val="single" w:sz="4" w:space="0" w:color="auto"/>
            </w:tcBorders>
            <w:vAlign w:val="center"/>
          </w:tcPr>
          <w:p w:rsidR="00920A40" w:rsidRPr="003C2E1B" w:rsidRDefault="00920A40"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920A40" w:rsidRPr="003C2E1B" w:rsidRDefault="00920A40"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套</w:t>
            </w:r>
          </w:p>
        </w:tc>
        <w:tc>
          <w:tcPr>
            <w:tcW w:w="1275" w:type="dxa"/>
            <w:shd w:val="clear" w:color="auto" w:fill="auto"/>
          </w:tcPr>
          <w:p w:rsidR="00920A40" w:rsidRPr="000078D5" w:rsidRDefault="00920A40" w:rsidP="00920A40">
            <w:pPr>
              <w:spacing w:line="360" w:lineRule="auto"/>
              <w:jc w:val="center"/>
            </w:pPr>
            <w:r w:rsidRPr="00920A40">
              <w:rPr>
                <w:rFonts w:ascii="仿宋_GB2312" w:eastAsia="仿宋_GB2312" w:hAnsi="宋体" w:cs="宋体" w:hint="eastAsia"/>
                <w:sz w:val="28"/>
                <w:szCs w:val="28"/>
              </w:rPr>
              <w:t>9万</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B23C3">
        <w:rPr>
          <w:rFonts w:ascii="仿宋_GB2312" w:eastAsia="仿宋_GB2312" w:hAnsi="宋体" w:cs="宋体" w:hint="eastAsia"/>
          <w:sz w:val="28"/>
          <w:szCs w:val="28"/>
        </w:rPr>
        <w:t>8</w:t>
      </w:r>
      <w:r>
        <w:rPr>
          <w:rFonts w:ascii="仿宋_GB2312" w:eastAsia="仿宋_GB2312" w:hAnsi="宋体" w:cs="宋体" w:hint="eastAsia"/>
          <w:sz w:val="28"/>
          <w:szCs w:val="28"/>
        </w:rPr>
        <w:t>月</w:t>
      </w:r>
      <w:r w:rsidR="00AB23C3">
        <w:rPr>
          <w:rFonts w:ascii="仿宋_GB2312" w:eastAsia="仿宋_GB2312" w:hAnsi="宋体" w:cs="宋体" w:hint="eastAsia"/>
          <w:sz w:val="28"/>
          <w:szCs w:val="28"/>
        </w:rPr>
        <w:t>11</w:t>
      </w:r>
      <w:r>
        <w:rPr>
          <w:rFonts w:ascii="仿宋_GB2312" w:eastAsia="仿宋_GB2312" w:hAnsi="宋体" w:cs="宋体" w:hint="eastAsia"/>
          <w:sz w:val="28"/>
          <w:szCs w:val="28"/>
        </w:rPr>
        <w:t>日1</w:t>
      </w:r>
      <w:r w:rsidR="00AB23C3">
        <w:rPr>
          <w:rFonts w:ascii="仿宋_GB2312" w:eastAsia="仿宋_GB2312" w:hAnsi="宋体" w:cs="宋体" w:hint="eastAsia"/>
          <w:sz w:val="28"/>
          <w:szCs w:val="28"/>
        </w:rPr>
        <w:t>6</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AB23C3">
        <w:rPr>
          <w:rFonts w:ascii="仿宋_GB2312" w:eastAsia="仿宋_GB2312" w:hAnsi="宋体" w:cs="宋体" w:hint="eastAsia"/>
          <w:sz w:val="28"/>
          <w:szCs w:val="28"/>
        </w:rPr>
        <w:t>8</w:t>
      </w:r>
      <w:r>
        <w:rPr>
          <w:rFonts w:ascii="仿宋_GB2312" w:eastAsia="仿宋_GB2312" w:hAnsi="宋体" w:cs="宋体" w:hint="eastAsia"/>
          <w:sz w:val="28"/>
          <w:szCs w:val="28"/>
        </w:rPr>
        <w:t>月</w:t>
      </w:r>
      <w:r w:rsidR="00AB23C3">
        <w:rPr>
          <w:rFonts w:ascii="仿宋_GB2312" w:eastAsia="仿宋_GB2312" w:hAnsi="宋体" w:cs="宋体" w:hint="eastAsia"/>
          <w:sz w:val="28"/>
          <w:szCs w:val="28"/>
        </w:rPr>
        <w:t>12</w:t>
      </w:r>
      <w:r>
        <w:rPr>
          <w:rFonts w:ascii="仿宋_GB2312" w:eastAsia="仿宋_GB2312" w:hAnsi="宋体" w:cs="宋体" w:hint="eastAsia"/>
          <w:sz w:val="28"/>
          <w:szCs w:val="28"/>
        </w:rPr>
        <w:t>日1</w:t>
      </w:r>
      <w:r w:rsidR="00A26FF0">
        <w:rPr>
          <w:rFonts w:ascii="仿宋_GB2312" w:eastAsia="仿宋_GB2312" w:hAnsi="宋体" w:cs="宋体" w:hint="eastAsia"/>
          <w:sz w:val="28"/>
          <w:szCs w:val="28"/>
        </w:rPr>
        <w:t>4</w:t>
      </w:r>
      <w:r>
        <w:rPr>
          <w:rFonts w:ascii="仿宋_GB2312" w:eastAsia="仿宋_GB2312" w:hAnsi="宋体" w:cs="宋体" w:hint="eastAsia"/>
          <w:sz w:val="28"/>
          <w:szCs w:val="28"/>
        </w:rPr>
        <w:t>点</w:t>
      </w:r>
      <w:r w:rsidR="00A26FF0">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FF271D" w:rsidRPr="003C2E1B" w:rsidTr="00392385">
        <w:tc>
          <w:tcPr>
            <w:tcW w:w="1371" w:type="dxa"/>
            <w:tcBorders>
              <w:top w:val="single" w:sz="4" w:space="0" w:color="auto"/>
              <w:left w:val="single" w:sz="4" w:space="0" w:color="auto"/>
              <w:bottom w:val="single" w:sz="4" w:space="0" w:color="auto"/>
              <w:right w:val="single" w:sz="4" w:space="0" w:color="auto"/>
            </w:tcBorders>
          </w:tcPr>
          <w:p w:rsidR="00FF271D" w:rsidRPr="003C2E1B" w:rsidRDefault="00FF271D" w:rsidP="000D104D">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4686" w:type="dxa"/>
            <w:tcBorders>
              <w:top w:val="single" w:sz="4" w:space="0" w:color="auto"/>
              <w:left w:val="single" w:sz="4" w:space="0" w:color="auto"/>
              <w:bottom w:val="single" w:sz="4" w:space="0" w:color="auto"/>
              <w:right w:val="single" w:sz="4" w:space="0" w:color="auto"/>
            </w:tcBorders>
          </w:tcPr>
          <w:p w:rsidR="00FF271D" w:rsidRPr="00392385" w:rsidRDefault="00FF271D" w:rsidP="000D104D">
            <w:pPr>
              <w:ind w:left="3080" w:hangingChars="1100" w:hanging="3080"/>
              <w:jc w:val="center"/>
              <w:rPr>
                <w:rFonts w:ascii="仿宋_GB2312" w:eastAsia="仿宋_GB2312" w:hAnsi="宋体" w:cs="宋体"/>
                <w:sz w:val="28"/>
                <w:szCs w:val="28"/>
              </w:rPr>
            </w:pPr>
            <w:r w:rsidRPr="00715C70">
              <w:rPr>
                <w:rFonts w:ascii="仿宋_GB2312" w:eastAsia="仿宋_GB2312" w:hAnsi="宋体" w:cs="宋体" w:hint="eastAsia"/>
                <w:sz w:val="28"/>
                <w:szCs w:val="28"/>
              </w:rPr>
              <w:t>腹膜透析管理信息系统</w:t>
            </w:r>
          </w:p>
        </w:tc>
        <w:tc>
          <w:tcPr>
            <w:tcW w:w="1418" w:type="dxa"/>
            <w:tcBorders>
              <w:top w:val="single" w:sz="4" w:space="0" w:color="auto"/>
              <w:left w:val="single" w:sz="4" w:space="0" w:color="auto"/>
              <w:bottom w:val="single" w:sz="4" w:space="0" w:color="auto"/>
              <w:right w:val="single" w:sz="4" w:space="0" w:color="auto"/>
            </w:tcBorders>
            <w:vAlign w:val="center"/>
          </w:tcPr>
          <w:p w:rsidR="00FF271D" w:rsidRPr="003C2E1B" w:rsidRDefault="00FF271D" w:rsidP="000D104D">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FF271D" w:rsidRPr="003C2E1B" w:rsidRDefault="00FF271D" w:rsidP="000D104D">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套</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tbl>
      <w:tblPr>
        <w:tblpPr w:leftFromText="180" w:rightFromText="180" w:vertAnchor="text" w:horzAnchor="page" w:tblpX="1435" w:tblpY="294"/>
        <w:tblOverlap w:val="never"/>
        <w:tblW w:w="9334" w:type="dxa"/>
        <w:tblLayout w:type="fixed"/>
        <w:tblCellMar>
          <w:top w:w="15" w:type="dxa"/>
          <w:left w:w="15" w:type="dxa"/>
          <w:bottom w:w="15" w:type="dxa"/>
          <w:right w:w="15" w:type="dxa"/>
        </w:tblCellMar>
        <w:tblLook w:val="04A0"/>
      </w:tblPr>
      <w:tblGrid>
        <w:gridCol w:w="1033"/>
        <w:gridCol w:w="1606"/>
        <w:gridCol w:w="6695"/>
      </w:tblGrid>
      <w:tr w:rsidR="00272B40" w:rsidRPr="00272B40" w:rsidTr="00E65A9A">
        <w:trPr>
          <w:trHeight w:val="286"/>
        </w:trPr>
        <w:tc>
          <w:tcPr>
            <w:tcW w:w="2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center"/>
              <w:textAlignment w:val="center"/>
              <w:rPr>
                <w:rFonts w:ascii="仿宋_GB2312" w:eastAsia="仿宋_GB2312" w:hAnsi="宋体" w:cs="宋体"/>
                <w:sz w:val="24"/>
              </w:rPr>
            </w:pPr>
            <w:r w:rsidRPr="00272B40">
              <w:rPr>
                <w:rFonts w:ascii="仿宋_GB2312" w:eastAsia="仿宋_GB2312" w:hAnsi="宋体" w:cs="宋体" w:hint="eastAsia"/>
                <w:sz w:val="24"/>
              </w:rPr>
              <w:t>功能点</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272B40">
            <w:pPr>
              <w:widowControl/>
              <w:jc w:val="center"/>
              <w:textAlignment w:val="center"/>
              <w:rPr>
                <w:rFonts w:ascii="仿宋_GB2312" w:eastAsia="仿宋_GB2312" w:hAnsi="宋体" w:cs="宋体"/>
                <w:sz w:val="24"/>
              </w:rPr>
            </w:pPr>
            <w:r w:rsidRPr="00272B40">
              <w:rPr>
                <w:rFonts w:ascii="仿宋_GB2312" w:eastAsia="仿宋_GB2312" w:hAnsi="宋体" w:cs="宋体" w:hint="eastAsia"/>
                <w:sz w:val="24"/>
              </w:rPr>
              <w:t>需求</w:t>
            </w:r>
          </w:p>
        </w:tc>
      </w:tr>
      <w:tr w:rsidR="00272B40" w:rsidRPr="00272B40" w:rsidTr="00E65A9A">
        <w:trPr>
          <w:trHeight w:val="540"/>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接收病人</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接收病人</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新增病人，录入病人基本信息、转归信息、主管医护人员信息、确认签署知情同意书并保存（身份证号、就诊号、住院号和医保号可以刷卡自动填充录入）</w:t>
            </w:r>
          </w:p>
        </w:tc>
      </w:tr>
      <w:tr w:rsidR="00272B40" w:rsidRPr="00272B40" w:rsidTr="00E65A9A">
        <w:trPr>
          <w:trHeight w:val="540"/>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病人列表</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病人列表</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显示所有病人(默认显示留治的病人)，可以直观显示姓名、性别等基本信息，显示最近诊断记录、主管护士、透析方式，显示最近血压、血糖等数据；同时点击头像可以跳转到病人详情页面。在搜索栏可以搜索病人</w:t>
            </w:r>
          </w:p>
        </w:tc>
      </w:tr>
      <w:tr w:rsidR="00272B40" w:rsidRPr="00272B40" w:rsidTr="00E65A9A">
        <w:trPr>
          <w:trHeight w:val="286"/>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病人详情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患者信息</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显示某个病人信息并可修改保存</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转归记录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查看某个病人转归记录，并可新增、修改、删除和导出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主管护士</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查看某个病人的主管医护信息，并可新增、修改、删除和导出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病人病史</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查看某个病人的病史信息，并可新增、修改、删除和导出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手术记录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查看某个病人的手术记录，并可新增、修改、删除和导出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随访记录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点击随访记录跳转到随访记录页面</w:t>
            </w:r>
          </w:p>
        </w:tc>
      </w:tr>
      <w:tr w:rsidR="00272B40" w:rsidRPr="00272B40" w:rsidTr="00E65A9A">
        <w:trPr>
          <w:trHeight w:val="54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病人食谱</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查看某个病人的食谱明细，也可按天统计汇总；可新增一条食谱，录入食谱各类、名称、体重、数量、身高点击计算按钮可以计算食谱成分，录入时间可保存；可修改、删除、导出食谱。</w:t>
            </w:r>
          </w:p>
        </w:tc>
      </w:tr>
      <w:tr w:rsidR="00272B40" w:rsidRPr="00272B40" w:rsidTr="00E65A9A">
        <w:trPr>
          <w:trHeight w:val="54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诊断记录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显示病人诊断信息(点击诊断记录显示的是按日期、诊断类型汇</w:t>
            </w:r>
            <w:r w:rsidRPr="00272B40">
              <w:rPr>
                <w:rFonts w:ascii="仿宋_GB2312" w:eastAsia="仿宋_GB2312" w:hAnsi="宋体" w:cs="宋体" w:hint="eastAsia"/>
                <w:sz w:val="24"/>
              </w:rPr>
              <w:lastRenderedPageBreak/>
              <w:t>总)，点击查看详情可查看当天该类诊断的具体内容，并可修改、删除和导出。</w:t>
            </w:r>
          </w:p>
        </w:tc>
      </w:tr>
      <w:tr w:rsidR="00272B40" w:rsidRPr="00272B40" w:rsidTr="00E65A9A">
        <w:trPr>
          <w:trHeight w:val="54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住院记录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查看某个病人的住院记录，并可新增、修改、删除和导出（新增时可识别是入院或是出院，自动填充入院日期或出院日期；可自动计算收费）</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评估记录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点击评估记录跳转到评估记录页面</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死亡记录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显示病人死亡记录，可修改、删除和导出；生成死亡记录是在新增转归记录转归原因为死亡时生成。</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死亡讨论</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对死亡患者进行总结和讨论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居家数据</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查看病人居家数据如血压等(需要C端数据回传)</w:t>
            </w:r>
          </w:p>
        </w:tc>
      </w:tr>
      <w:tr w:rsidR="00272B40" w:rsidRPr="00272B40" w:rsidTr="00E65A9A">
        <w:trPr>
          <w:trHeight w:val="286"/>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随访记录</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一般情况</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查看某个病人腹透基本情况，并可新增、修改、删除和导出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透析方案</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查看某个病人的透析方案，并可新增、修改、删除和导出（可自动计算总剂量、总能量）</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系统回顾</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查看某个病人的系统回顾，并可新增、修改、删除和导出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常规用药</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查看某个病人的常规用药信息，可新增或停用用药，可停用并新建用药，也可修改、删除和导出用药</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外接短管更换记录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查看某个病人的外接短管更换记录，并可新增、修改、删除和导出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特殊检查</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查看某个病人的特殊检查，并可新增、修改、删除和导出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外出口评估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查看某个病人的外出口评估，并可新增、修改、删除和导出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净超滤量</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查看某个病人的净超滤量，并可新增、修改、删除和导出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降压药用药</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查看某个病人的降压药用药，并可新增、修改、删除和导出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样本留取</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查看某个病人的样本留取，并可新增、修改、删除和导出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腹膜炎</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查看某个病人的腹膜炎，并可新增、修改、删除和导出</w:t>
            </w:r>
          </w:p>
        </w:tc>
      </w:tr>
      <w:tr w:rsidR="00272B40" w:rsidRPr="00272B40" w:rsidTr="00E65A9A">
        <w:trPr>
          <w:trHeight w:val="286"/>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化验检查</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腹水常规</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查看某个病人的腹水常规，并可新增、修改、删除和导出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腹透液生化</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查看某个病人的腹透液生化，并可新增、修改、删除和导出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铁五项</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查看某个病人的铁五项，并可新增、修改、删除和导出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甲状旁腺激素</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查看某个病人的甲状旁腺激素，并可新增、修改、删除和导出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免疫学指标</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查看某个病人的免疫学指标，并可新增、修改、删除和导出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肿瘤标志物</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查看某个病人的肿瘤标志物，并可新增、修改、删除和导出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β微球蛋白</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查看某个病人的β微球蛋白，并可新增、修改、删除和导出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前白蛋白</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查看某个病人的前白蛋白，并可新增、修改、删除和导出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糖化血红蛋白</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查看某个病人的糖化血红蛋白，并可新增、修改、删除和导出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血糖测定</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查看某个病人的血糖测定，并可新增、修改、删除和导出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血常规</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查看某个病人的血常规，并可新增、修改、删除和导出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生化全项</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查看某个病人的生化全项，并可新增、修改、删除和导出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肝功能</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查看某个病人的肝功能，并可新增、修改、删除和导出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心肌酶谱</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查看某个病人的心肌酶谱，并可新增、修改、删除和导出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甲状腺功能</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查看某个病人的甲状腺功能，并可新增、修改、删除和导出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感染疾病筛查</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查看某个病人的感染疾病筛查，并可新增、修改、删除和导出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肝炎指标</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查看某个病人的肝炎指标，并可新增、修改、删除和导出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尿常规</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查看某个病人的尿常规，并可新增、修改、删除和导出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jc w:val="left"/>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尿生化</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查看某个病人的尿生化，并可新增、修改、删除和导出</w:t>
            </w:r>
          </w:p>
        </w:tc>
      </w:tr>
      <w:tr w:rsidR="00272B40" w:rsidRPr="00272B40" w:rsidTr="00E65A9A">
        <w:trPr>
          <w:trHeight w:val="286"/>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评估记录</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每月门诊问卷</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查看某个病人的每月门诊问卷，并可新增、修改、删除和导出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主观综合性营养评估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查看某个病人的主观综合性营养评估记录，可新增评估记录（可自动计算评估部分），可修改删除和导出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生物阻抗和握力设定</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查看某个病人的生物阻抗和握力设定评估，并可新增、修改、删除和导出</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营养状况评估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营养状况评估，并可新增（新增时可自动填充的数据：身高、握力、瘦体重（肌酐法LBM-CK）、瘦体重（生物电阴抗）、肩胛下皮褶厚度、上臂围、上臂肌围、二头肌皮褶厚度、三头肌皮褶厚度、髂骨上皮褶厚度、nPNA、肌酐、尿素氮、胆固醇）、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贫血评估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查看某个病人的贫血评估，并可新增（各指标值均取自最新的血常规和铁五项）、修改、删除和导出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体检评分</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查看某个病人的体检评分，并可新增、修改、删除和导出（可自动计算评分）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活动指数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查看某个病人的活动指数评估，并可新增、修改、删除和导出（可自动计算评分）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大不列颠放映测试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查看某个病人的大不列颠放映测试，并可新增、修改、删除和导出（可自动计算评分）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骨代谢及电解质评估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查看某个病人的骨代谢及电解质评估，并可新增（各指标值均取自最新的甲状旁腺激素和生化全项）、修改、删除和导出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密歇根神经病变放映分值</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查看某个病人的密歇根神经病变放映分值，并可新增、修改、删除和导出（可自动计算评分）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Zung焦虑自评量</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查看某个病人的Zung焦虑自评量评估，并可新增、修改、删除和导出（可自动计算评分）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出院前考核结果记录</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查看某个病人的出院前考核结果记录，并可新增、修改、删除和导出（可自动计算评分）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Zung抑郁自评量</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查看某个病人的Zung抑郁自评量，并可新增、修改、删除和导出（可自动计算评分）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腹膜功能评估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查看某个病人的腹膜功能评估，并可新增、修改、删除和导出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体液分布评估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查看某个病人的体液分布评估，并可新增、修改、删除和导出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皮下脂肪测量</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查看某个病人的皮下脂肪测量，并可新增、修改、删除和导出</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坠床跌倒评估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查看某个病人的坠床跌倒评估，并可新增、修改、删除和导出(可自动计算评分)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居家腹透操作复评</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查看某个病人的居家腹透操作复评，并可新增、修改、删除和导出（可自动计算评分总和）</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自我管理能力评估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查看某个病人的自我管理能力评估，并可新增、修改、删除和导出（可自动计算评分）</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生活质量评估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查看某个病人的生活质量评估，并可新增、修改、删除和导出</w:t>
            </w:r>
          </w:p>
        </w:tc>
      </w:tr>
      <w:tr w:rsidR="00272B40" w:rsidRPr="00272B40" w:rsidTr="00E65A9A">
        <w:trPr>
          <w:trHeight w:val="34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透析充分性评估</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查看某个病人的透析充分性评估，并可新增、修改、删除和导出</w:t>
            </w:r>
          </w:p>
        </w:tc>
      </w:tr>
      <w:tr w:rsidR="00272B40" w:rsidRPr="00272B40" w:rsidTr="00E65A9A">
        <w:trPr>
          <w:trHeight w:val="286"/>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病人概览</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rPr>
                <w:rFonts w:ascii="仿宋_GB2312" w:eastAsia="仿宋_GB2312" w:hAnsi="宋体" w:cs="宋体"/>
                <w:sz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以时间轴的形式显示特定病人治疗过程</w:t>
            </w:r>
          </w:p>
        </w:tc>
      </w:tr>
      <w:tr w:rsidR="00272B40" w:rsidRPr="00272B40" w:rsidTr="00E65A9A">
        <w:trPr>
          <w:trHeight w:val="810"/>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lastRenderedPageBreak/>
              <w:t>质量指标监控</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总体情况统计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转归情况，可按日期范围、年份范围、年份三种类型统计，都有图表展示，都有三层结构：第一层医院统计人数，第二层具体的病人、第三层某个病人的信息。按日期范围查询默认显示柱状图，横坐标是统计项目、纵坐标是数目；按年份查询默认为折线图可以选择年份范围，横坐标是时间、纵坐标是数目；按月份查询默认为折线图，可选择某一年，统计各月份的情况</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原发病统计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原发病，可按日期范围、年份范围、年份三种类型统计，都有图表展示，都有三层结构：第一层医院各类原发病人数，第二层具体的病人、第三层某个病人的诊断信息。按日期范围查询默认显示饼图；按年份查询默认为折线图可以选择年份范围，横坐标是时间、纵坐标是数目；按月份查询默认为折线图，可选择某一年，统计各月份的情况</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血红蛋白统计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血红蛋白，可按日期范围、年份范围、年份三种类型统计，都有图表展示，都有三层结构：第一层医院血红蛋白值各范围人数，第二层具体的病人、第三层某个病人血红蛋白信息。按日期范围查询默认显示饼图；按年份查询默认为折线图可以选择年份范围，横坐标是时间、纵坐标是数目；按月份查询默认为折线图，可选择某一年，统计各月份的情况</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血清白蛋白统计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血清白蛋白，可按日期范围、年份范围、年份三种类型统计，都有图表展示，都有三层结构：第一层医院血清白蛋白值各范围人数，第二层具体的病人、第三层某个病人的信息。按日期范围查询默认显示饼图；按年份查询默认为折线图可以选择年份范</w:t>
            </w:r>
            <w:r w:rsidRPr="00272B40">
              <w:rPr>
                <w:rFonts w:ascii="仿宋_GB2312" w:eastAsia="仿宋_GB2312" w:hAnsi="宋体" w:cs="宋体" w:hint="eastAsia"/>
                <w:sz w:val="24"/>
              </w:rPr>
              <w:lastRenderedPageBreak/>
              <w:t>围，横坐标是时间、纵坐标是数目；按月份查询默认为折线图，可选择某一年，统计各月份的情况</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血磷统计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血磷信息，可按日期范围、年份范围、年份三种类型统计，都有图表展示，都有三层结构：第一层医院血磷各范围值人数，第二层具体的病人、第三层某个病人的信息。按日期范围查询默认显示饼图；按年份查询默认为折线图可以选择年份范围，横坐标是时间、纵坐标是数目；按月份查询默认为折线图，可选择某一年，统计各月份的情况</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血钙统计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血钙信息，可按日期范围、年份范围、年份三种类型统计，都有图表展示，都有三层结构：第一层医院血钙各范围值人数，第二层具体的病人、第三层某个病人的信息。按日期范围查询默认显示饼图；按年份查询默认为折线图可以选择年份范围，横坐标是时间、纵坐标是数目；按月份查询默认为折线图，可选择某一年，统计各月份的情况</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ipth统计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IPTH信息，可按日期范围、年份范围、年份三种类型统计，都有图表展示，都有三层结构：第一层医院IPTH各范围值人数，第二层具体的病人、第三层某个病人的信息。按日期范围查询默认显示饼图；按年份查询默认为折线图可以选择年份范围，横坐标是时间、纵坐标是数目；按月份查询默认为折线图，可选择某一年，统计各月份的情况</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腹膜炎统计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统计腹膜炎治疗结果，可按日期范围、年份范围、年份三种类型统计，都有图表展示，都有三层结构：第一层统计医院各类别人</w:t>
            </w:r>
            <w:r w:rsidRPr="00272B40">
              <w:rPr>
                <w:rFonts w:ascii="仿宋_GB2312" w:eastAsia="仿宋_GB2312" w:hAnsi="宋体" w:cs="宋体" w:hint="eastAsia"/>
                <w:sz w:val="24"/>
              </w:rPr>
              <w:lastRenderedPageBreak/>
              <w:t>数，第二层具体的病人、第三层某个病人的信息。按日期范围查询默认显示饼图；按年份查询默认为折线图可以选择年份范围，横坐标是时间、纵坐标是数目；按月份查询默认为折线图，可选择某一年，统计各月份的情况</w:t>
            </w:r>
          </w:p>
        </w:tc>
      </w:tr>
      <w:tr w:rsidR="00272B40" w:rsidRPr="00272B40" w:rsidTr="00E65A9A">
        <w:trPr>
          <w:trHeight w:val="54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腹膜炎感染率统计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统计腹膜炎感染率，可按月份查询图表展示，三层结构：第一层统计医院在透月人次和腹膜炎人次，第二层具体的病人、第三层某个病人的信息。</w:t>
            </w:r>
          </w:p>
        </w:tc>
      </w:tr>
      <w:tr w:rsidR="00272B40" w:rsidRPr="00272B40" w:rsidTr="00E65A9A">
        <w:trPr>
          <w:trHeight w:val="81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透析充分性统计</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透析充分性(KT/V)，可按日期范围、年份范围、年份三种类型统计，都有图表展示，都有三层结构：第一层统计医院KT/V各范围值人数，第二层具体的病人、第三层某个病人的信息。按日期范围查询默认显示饼图；按年份查询默认为折线图可以选择年份范围，横坐标是时间、纵坐标是数目；按月份查询默认为折线图，可选择某一年，统计各月份的情况</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年存活率</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统计腹透病人年存活率，按年份统计。三层结构：第一层医院各类别人数，第二层具体的病人、第三层某个病人的信息。</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年退出率</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统计腹透病人年退出率，按年份统计。三层结构：第一层医院各类别人数，第二层具体的病人、第三层某个病人的信息。</w:t>
            </w:r>
          </w:p>
        </w:tc>
      </w:tr>
      <w:tr w:rsidR="00272B40" w:rsidRPr="00272B40" w:rsidTr="00E65A9A">
        <w:trPr>
          <w:trHeight w:val="54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腹透治疗时间</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腹透治疗时间，可按日期范围、年份范围、年份三种类型统计，都有三层结构：第一层统计治疗总月数、人数、平均治疗时间，第二层具体的病人、第三层某个病人的信息。按日期范围统计无图，按年份范围和年份有图显示，默认为折线图。</w:t>
            </w:r>
          </w:p>
        </w:tc>
      </w:tr>
      <w:tr w:rsidR="00272B40" w:rsidRPr="00272B40" w:rsidTr="00E65A9A">
        <w:trPr>
          <w:trHeight w:val="540"/>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存活率</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统计腹透病人存活率，可按年份统计，三层结构：第一层统计满一年在透人数、转血透人数、死亡人数；第二层统计具体病人；第三层显示某个病人信息</w:t>
            </w:r>
          </w:p>
        </w:tc>
      </w:tr>
      <w:tr w:rsidR="00272B40" w:rsidRPr="00272B40" w:rsidTr="00E65A9A">
        <w:trPr>
          <w:trHeight w:val="286"/>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上报完整性统计</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一次性上报</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一次性上报数据按月份查询和手动更新完整性。</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每三月上报</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每三月上报数据按月份查询和手动更新完整性。</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每半年上报</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每半月上报数据按月份查询和手动更新完整性。</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每年上报</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每年上报数据按月份查询和手动更新完整性。</w:t>
            </w:r>
          </w:p>
        </w:tc>
      </w:tr>
      <w:tr w:rsidR="00272B40" w:rsidRPr="00272B40" w:rsidTr="00E65A9A">
        <w:trPr>
          <w:trHeight w:val="286"/>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食谱字典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食谱类别</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页面左侧展示所有食谱类别，可新增、修改和删除类别</w:t>
            </w:r>
          </w:p>
        </w:tc>
      </w:tr>
      <w:tr w:rsidR="00272B40" w:rsidRPr="00272B40" w:rsidTr="00E65A9A">
        <w:trPr>
          <w:trHeight w:val="286"/>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食谱成分</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页面右侧展示对应类型的食谱和具体成分，可新增对应食谱，也可修改、删除和导出</w:t>
            </w:r>
          </w:p>
        </w:tc>
      </w:tr>
      <w:tr w:rsidR="00272B40" w:rsidRPr="00272B40" w:rsidTr="00E65A9A">
        <w:trPr>
          <w:trHeight w:val="286"/>
        </w:trPr>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数据交换</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hint="eastAsia"/>
                <w:sz w:val="24"/>
              </w:rPr>
              <w:t>导出文件上报</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选择时间段导出，生成需要上报的文件。</w:t>
            </w:r>
          </w:p>
        </w:tc>
      </w:tr>
      <w:tr w:rsidR="00272B40" w:rsidRPr="00272B40" w:rsidTr="00E65A9A">
        <w:trPr>
          <w:trHeight w:val="286"/>
        </w:trPr>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72B40" w:rsidRPr="00272B40" w:rsidRDefault="00272B40" w:rsidP="00E65A9A">
            <w:pPr>
              <w:widowControl/>
              <w:jc w:val="left"/>
              <w:textAlignment w:val="center"/>
              <w:rPr>
                <w:rFonts w:ascii="仿宋_GB2312" w:eastAsia="仿宋_GB2312" w:hAnsi="宋体" w:cs="宋体"/>
                <w:sz w:val="24"/>
              </w:rPr>
            </w:pPr>
            <w:r w:rsidRPr="00272B40">
              <w:rPr>
                <w:rFonts w:ascii="仿宋_GB2312" w:eastAsia="仿宋_GB2312" w:hAnsi="宋体" w:cs="宋体"/>
                <w:sz w:val="24"/>
              </w:rPr>
              <w:t>手机</w:t>
            </w:r>
            <w:r w:rsidRPr="00272B40">
              <w:rPr>
                <w:rFonts w:ascii="仿宋_GB2312" w:eastAsia="仿宋_GB2312" w:hAnsi="宋体" w:cs="宋体" w:hint="eastAsia"/>
                <w:sz w:val="24"/>
              </w:rPr>
              <w:t>APP</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bottom"/>
          </w:tcPr>
          <w:p w:rsidR="00272B40" w:rsidRPr="00272B40" w:rsidRDefault="00272B40" w:rsidP="00E65A9A">
            <w:pPr>
              <w:widowControl/>
              <w:jc w:val="left"/>
              <w:textAlignment w:val="bottom"/>
              <w:rPr>
                <w:rFonts w:ascii="仿宋_GB2312" w:eastAsia="仿宋_GB2312" w:hAnsi="宋体" w:cs="宋体"/>
                <w:sz w:val="24"/>
              </w:rPr>
            </w:pPr>
            <w:r w:rsidRPr="00272B40">
              <w:rPr>
                <w:rFonts w:ascii="仿宋_GB2312" w:eastAsia="仿宋_GB2312" w:hAnsi="宋体" w:cs="宋体" w:hint="eastAsia"/>
                <w:sz w:val="24"/>
              </w:rPr>
              <w:t>医护患</w:t>
            </w:r>
            <w:r w:rsidRPr="00272B40">
              <w:rPr>
                <w:rFonts w:ascii="仿宋_GB2312" w:eastAsia="仿宋_GB2312" w:hAnsi="宋体" w:cs="宋体"/>
                <w:sz w:val="24"/>
              </w:rPr>
              <w:t>者</w:t>
            </w:r>
            <w:r w:rsidRPr="00272B40">
              <w:rPr>
                <w:rFonts w:ascii="仿宋_GB2312" w:eastAsia="仿宋_GB2312" w:hAnsi="宋体" w:cs="宋体" w:hint="eastAsia"/>
                <w:sz w:val="24"/>
              </w:rPr>
              <w:t>透</w:t>
            </w:r>
            <w:r w:rsidRPr="00272B40">
              <w:rPr>
                <w:rFonts w:ascii="仿宋_GB2312" w:eastAsia="仿宋_GB2312" w:hAnsi="宋体" w:cs="宋体"/>
                <w:sz w:val="24"/>
              </w:rPr>
              <w:t>析助手，帮助病人</w:t>
            </w:r>
            <w:r w:rsidRPr="00272B40">
              <w:rPr>
                <w:rFonts w:ascii="仿宋_GB2312" w:eastAsia="仿宋_GB2312" w:hAnsi="宋体" w:cs="宋体" w:hint="eastAsia"/>
                <w:sz w:val="24"/>
              </w:rPr>
              <w:t>时</w:t>
            </w:r>
            <w:r w:rsidRPr="00272B40">
              <w:rPr>
                <w:rFonts w:ascii="仿宋_GB2312" w:eastAsia="仿宋_GB2312" w:hAnsi="宋体" w:cs="宋体"/>
                <w:sz w:val="24"/>
              </w:rPr>
              <w:t>时掌握状态；查看</w:t>
            </w:r>
            <w:r w:rsidRPr="00272B40">
              <w:rPr>
                <w:rFonts w:ascii="仿宋_GB2312" w:eastAsia="仿宋_GB2312" w:hAnsi="宋体" w:cs="宋体" w:hint="eastAsia"/>
                <w:sz w:val="24"/>
              </w:rPr>
              <w:t>排</w:t>
            </w:r>
            <w:r w:rsidRPr="00272B40">
              <w:rPr>
                <w:rFonts w:ascii="仿宋_GB2312" w:eastAsia="仿宋_GB2312" w:hAnsi="宋体" w:cs="宋体"/>
                <w:sz w:val="24"/>
              </w:rPr>
              <w:t>班、化验、检查、</w:t>
            </w:r>
            <w:r w:rsidRPr="00272B40">
              <w:rPr>
                <w:rFonts w:ascii="仿宋_GB2312" w:eastAsia="仿宋_GB2312" w:hAnsi="宋体" w:cs="宋体" w:hint="eastAsia"/>
                <w:sz w:val="24"/>
              </w:rPr>
              <w:t>等</w:t>
            </w:r>
            <w:r w:rsidRPr="00272B40">
              <w:rPr>
                <w:rFonts w:ascii="仿宋_GB2312" w:eastAsia="仿宋_GB2312" w:hAnsi="宋体" w:cs="宋体"/>
                <w:sz w:val="24"/>
              </w:rPr>
              <w:t>清单</w:t>
            </w:r>
            <w:r w:rsidRPr="00272B40">
              <w:rPr>
                <w:rFonts w:ascii="仿宋_GB2312" w:eastAsia="仿宋_GB2312" w:hAnsi="宋体" w:cs="宋体" w:hint="eastAsia"/>
                <w:sz w:val="24"/>
              </w:rPr>
              <w:t>；以</w:t>
            </w:r>
            <w:r w:rsidRPr="00272B40">
              <w:rPr>
                <w:rFonts w:ascii="仿宋_GB2312" w:eastAsia="仿宋_GB2312" w:hAnsi="宋体" w:cs="宋体"/>
                <w:sz w:val="24"/>
              </w:rPr>
              <w:t>及医患</w:t>
            </w:r>
            <w:r w:rsidRPr="00272B40">
              <w:rPr>
                <w:rFonts w:ascii="仿宋_GB2312" w:eastAsia="仿宋_GB2312" w:hAnsi="宋体" w:cs="宋体" w:hint="eastAsia"/>
                <w:sz w:val="24"/>
              </w:rPr>
              <w:t>互</w:t>
            </w:r>
            <w:r w:rsidRPr="00272B40">
              <w:rPr>
                <w:rFonts w:ascii="仿宋_GB2312" w:eastAsia="仿宋_GB2312" w:hAnsi="宋体" w:cs="宋体"/>
                <w:sz w:val="24"/>
              </w:rPr>
              <w:t>动交流</w:t>
            </w:r>
            <w:r w:rsidRPr="00272B40">
              <w:rPr>
                <w:rFonts w:ascii="仿宋_GB2312" w:eastAsia="仿宋_GB2312" w:hAnsi="宋体" w:cs="宋体" w:hint="eastAsia"/>
                <w:sz w:val="24"/>
              </w:rPr>
              <w:t>等</w:t>
            </w:r>
            <w:r w:rsidRPr="00272B40">
              <w:rPr>
                <w:rFonts w:ascii="仿宋_GB2312" w:eastAsia="仿宋_GB2312" w:hAnsi="宋体" w:cs="宋体"/>
                <w:sz w:val="24"/>
              </w:rPr>
              <w:t>；</w:t>
            </w:r>
          </w:p>
        </w:tc>
      </w:tr>
    </w:tbl>
    <w:p w:rsidR="006868BF" w:rsidRPr="00272B40" w:rsidRDefault="006868BF" w:rsidP="00EB3DAA">
      <w:pPr>
        <w:spacing w:line="360" w:lineRule="auto"/>
        <w:ind w:left="482" w:hangingChars="200" w:hanging="482"/>
        <w:jc w:val="center"/>
        <w:rPr>
          <w:b/>
          <w:bCs/>
          <w:color w:val="000000"/>
          <w:sz w:val="24"/>
        </w:rPr>
      </w:pPr>
    </w:p>
    <w:p w:rsidR="00EB3DAA" w:rsidRPr="004911CC" w:rsidRDefault="00EB3DAA" w:rsidP="00EB3DAA">
      <w:pPr>
        <w:spacing w:line="360" w:lineRule="auto"/>
        <w:rPr>
          <w:rFonts w:ascii="仿宋_GB2312" w:eastAsia="仿宋_GB2312" w:cs="宋体"/>
          <w:sz w:val="28"/>
          <w:szCs w:val="28"/>
        </w:rPr>
      </w:pP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88" w:rsidRDefault="003A2D88" w:rsidP="003C2E1B">
      <w:r>
        <w:separator/>
      </w:r>
    </w:p>
  </w:endnote>
  <w:endnote w:type="continuationSeparator" w:id="0">
    <w:p w:rsidR="003A2D88" w:rsidRDefault="003A2D88"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88" w:rsidRDefault="003A2D88" w:rsidP="003C2E1B">
      <w:r>
        <w:separator/>
      </w:r>
    </w:p>
  </w:footnote>
  <w:footnote w:type="continuationSeparator" w:id="0">
    <w:p w:rsidR="003A2D88" w:rsidRDefault="003A2D88"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A8F"/>
    <w:multiLevelType w:val="hybridMultilevel"/>
    <w:tmpl w:val="7B1A08D4"/>
    <w:lvl w:ilvl="0" w:tplc="FD9AA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144DC3"/>
    <w:rsid w:val="001B110F"/>
    <w:rsid w:val="001E5AC4"/>
    <w:rsid w:val="002257CE"/>
    <w:rsid w:val="00236EAF"/>
    <w:rsid w:val="00252815"/>
    <w:rsid w:val="0026296A"/>
    <w:rsid w:val="00262A55"/>
    <w:rsid w:val="00272B40"/>
    <w:rsid w:val="00274C6E"/>
    <w:rsid w:val="002A369C"/>
    <w:rsid w:val="002D4BB8"/>
    <w:rsid w:val="00332A53"/>
    <w:rsid w:val="003537A5"/>
    <w:rsid w:val="00353E8D"/>
    <w:rsid w:val="00370040"/>
    <w:rsid w:val="00392385"/>
    <w:rsid w:val="00395876"/>
    <w:rsid w:val="003A059C"/>
    <w:rsid w:val="003A2D88"/>
    <w:rsid w:val="003A6FD1"/>
    <w:rsid w:val="003B190D"/>
    <w:rsid w:val="003C2E1B"/>
    <w:rsid w:val="003E26CD"/>
    <w:rsid w:val="004768C3"/>
    <w:rsid w:val="004859EE"/>
    <w:rsid w:val="004911CC"/>
    <w:rsid w:val="0049551B"/>
    <w:rsid w:val="004A159E"/>
    <w:rsid w:val="004F7443"/>
    <w:rsid w:val="00542038"/>
    <w:rsid w:val="00546905"/>
    <w:rsid w:val="005C17E4"/>
    <w:rsid w:val="005D54F3"/>
    <w:rsid w:val="005F7087"/>
    <w:rsid w:val="00623682"/>
    <w:rsid w:val="00627C42"/>
    <w:rsid w:val="00664E83"/>
    <w:rsid w:val="006672FC"/>
    <w:rsid w:val="006868BF"/>
    <w:rsid w:val="006B2102"/>
    <w:rsid w:val="006D1F02"/>
    <w:rsid w:val="007131AC"/>
    <w:rsid w:val="0072642A"/>
    <w:rsid w:val="00732229"/>
    <w:rsid w:val="007408C5"/>
    <w:rsid w:val="007551F2"/>
    <w:rsid w:val="007572DF"/>
    <w:rsid w:val="00781C48"/>
    <w:rsid w:val="007D607F"/>
    <w:rsid w:val="007F1630"/>
    <w:rsid w:val="008569FB"/>
    <w:rsid w:val="00863766"/>
    <w:rsid w:val="008656FF"/>
    <w:rsid w:val="00877349"/>
    <w:rsid w:val="00890836"/>
    <w:rsid w:val="008B096B"/>
    <w:rsid w:val="00907240"/>
    <w:rsid w:val="00920A40"/>
    <w:rsid w:val="0092164D"/>
    <w:rsid w:val="009577A1"/>
    <w:rsid w:val="00964FED"/>
    <w:rsid w:val="00976C9C"/>
    <w:rsid w:val="00982E42"/>
    <w:rsid w:val="00994224"/>
    <w:rsid w:val="009977C2"/>
    <w:rsid w:val="009D0C39"/>
    <w:rsid w:val="009D1BD0"/>
    <w:rsid w:val="00A0355E"/>
    <w:rsid w:val="00A23D66"/>
    <w:rsid w:val="00A26FF0"/>
    <w:rsid w:val="00A9108E"/>
    <w:rsid w:val="00AA0BE5"/>
    <w:rsid w:val="00AB23C3"/>
    <w:rsid w:val="00AC25AE"/>
    <w:rsid w:val="00AD48DB"/>
    <w:rsid w:val="00B11003"/>
    <w:rsid w:val="00B12269"/>
    <w:rsid w:val="00B44726"/>
    <w:rsid w:val="00B62650"/>
    <w:rsid w:val="00BC15CA"/>
    <w:rsid w:val="00BF40F0"/>
    <w:rsid w:val="00C3031A"/>
    <w:rsid w:val="00C65D3D"/>
    <w:rsid w:val="00CB514A"/>
    <w:rsid w:val="00CB53F7"/>
    <w:rsid w:val="00CD7EC3"/>
    <w:rsid w:val="00D43BEB"/>
    <w:rsid w:val="00D5708A"/>
    <w:rsid w:val="00D6732C"/>
    <w:rsid w:val="00D82366"/>
    <w:rsid w:val="00D9613E"/>
    <w:rsid w:val="00D96CDC"/>
    <w:rsid w:val="00DD5ADF"/>
    <w:rsid w:val="00E32AEF"/>
    <w:rsid w:val="00E33FA8"/>
    <w:rsid w:val="00E55CF5"/>
    <w:rsid w:val="00EA6148"/>
    <w:rsid w:val="00EB3DAA"/>
    <w:rsid w:val="00F774F5"/>
    <w:rsid w:val="00F821F9"/>
    <w:rsid w:val="00F96255"/>
    <w:rsid w:val="00FA2AB7"/>
    <w:rsid w:val="00FC7198"/>
    <w:rsid w:val="00FD6A0E"/>
    <w:rsid w:val="00FE538F"/>
    <w:rsid w:val="00FF2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1065</Words>
  <Characters>6076</Characters>
  <Application>Microsoft Office Word</Application>
  <DocSecurity>0</DocSecurity>
  <Lines>50</Lines>
  <Paragraphs>14</Paragraphs>
  <ScaleCrop>false</ScaleCrop>
  <Company>Sky123.Org</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6</cp:revision>
  <cp:lastPrinted>2019-01-09T01:43:00Z</cp:lastPrinted>
  <dcterms:created xsi:type="dcterms:W3CDTF">2020-08-06T04:55:00Z</dcterms:created>
  <dcterms:modified xsi:type="dcterms:W3CDTF">2020-08-06T09:01:00Z</dcterms:modified>
</cp:coreProperties>
</file>